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diagrams/layout2.xml" ContentType="application/vnd.openxmlformats-officedocument.drawingml.diagramLayout+xml"/>
  <Override PartName="/word/diagrams/colors2.xml" ContentType="application/vnd.openxmlformats-officedocument.drawingml.diagramColors+xml"/>
  <Override PartName="/word/diagrams/data2.xml" ContentType="application/vnd.openxmlformats-officedocument.drawingml.diagramData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numbering.xml" ContentType="application/vnd.openxmlformats-officedocument.wordprocessingml.numbering+xml"/>
  <Override PartName="/word/diagrams/quickStyle1.xml" ContentType="application/vnd.openxmlformats-officedocument.drawingml.diagramQuickSty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diagrams/drawing2.xml" ContentType="application/vnd.openxmlformats-officedocument.drawingml.diagramDraw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diagrams/drawing1.xml" ContentType="application/vnd.openxmlformats-officedocument.drawingml.diagramDrawing+xml"/>
  <Override PartName="/word/settings.xml" ContentType="application/vnd.openxmlformats-officedocument.wordprocessingml.settings+xml"/>
  <Override PartName="/word/diagrams/quickStyle2.xml" ContentType="application/vnd.openxmlformats-officedocument.drawingml.diagramQuickStyle+xml"/>
  <Override PartName="/word/footer1.xml" ContentType="application/vnd.openxmlformats-officedocument.wordprocessingml.footer+xml"/>
  <Override PartName="/word/diagrams/layout1.xml" ContentType="application/vnd.openxmlformats-officedocument.drawingml.diagramLayout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46"/>
        <w:spacing w:beforeAutospacing="0" w:after="0" w:afterAutospacing="0"/>
        <w:rPr>
          <w:rFonts w:ascii="Arial Narrow" w:hAnsi="Arial Narrow"/>
          <w:sz w:val="44"/>
          <w:szCs w:val="4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00885" cy="780415"/>
                <wp:effectExtent l="0" t="0" r="0" b="0"/>
                <wp:docPr id="1" name="Рисунок 2" descr="https://static.tildacdn.com/tild3831-3362-4364-b734-663136623331/___rusclimbingr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 descr="https://static.tildacdn.com/tild3831-3362-4364-b734-663136623331/___rusclimbingru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000885" cy="780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7.55pt;height:61.4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3" behindDoc="0" locked="0" layoutInCell="0" allowOverlap="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118485" cy="10058400"/>
                <wp:effectExtent l="0" t="0" r="0" b="0"/>
                <wp:wrapNone/>
                <wp:docPr id="2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18320" cy="10058400"/>
                          <a:chOff x="0" y="0"/>
                          <a:chExt cx="3118320" cy="10058400"/>
                        </a:xfrm>
                      </wpg:grpSpPr>
                      <wpg:grpSp>
                        <wpg:cNvGrpSpPr/>
                        <wpg:grpSpPr bwMode="auto">
                          <a:xfrm>
                            <a:off x="9000" y="0"/>
                            <a:ext cx="3109680" cy="10058400"/>
                            <a:chOff x="0" y="0"/>
                            <a:chExt cx="0" cy="0"/>
                          </a:xfrm>
                        </wpg:grpSpPr>
                        <wps:wsp>
                          <wps:cNvPr id="0" name=""/>
                          <wps:cNvSpPr/>
                          <wps:spPr bwMode="auto">
                            <a:xfrm>
                              <a:off x="128880" y="0"/>
                              <a:ext cx="2980800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0">
                              <a:srgbClr val="000000"/>
                            </a:fillRef>
                            <a:effectRef idx="0">
                              <a:srgbClr val="000000"/>
                            </a:effectRef>
                            <a:fontRef idx="minor"/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"/>
                          <wps:cNvSpPr/>
                          <wps:spPr bwMode="auto">
                            <a:xfrm>
                              <a:off x="0" y="5040"/>
                              <a:ext cx="122400" cy="10049040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9BBB59">
                                  <a:alpha val="80000"/>
                                </a:srgbClr>
                              </a:fgClr>
                              <a:bgClr>
                                <a:srgbClr val="FFFFFF">
                                  <a:alpha val="80000"/>
                                </a:srgbClr>
                              </a:bgClr>
                            </a:patt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0">
                              <a:srgbClr val="000000"/>
                            </a:fillRef>
                            <a:effectRef idx="0">
                              <a:srgbClr val="000000"/>
                            </a:effectRef>
                            <a:fontRef idx="minor"/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" name=""/>
                        <wps:cNvSpPr/>
                        <wps:spPr bwMode="auto">
                          <a:xfrm>
                            <a:off x="9000" y="0"/>
                            <a:ext cx="3109680" cy="2506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 xml:space="preserve">2023-2032</w:t>
                              </w:r>
                              <w:r/>
                            </w:p>
                          </w:txbxContent>
                        </wps:txbx>
                        <wps:bodyPr lIns="365760" tIns="2507040" rIns="182880" bIns="2507040" anchor="b" upright="1"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6774840"/>
                            <a:ext cx="3105000" cy="2826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spacing w:after="0" w:line="360" w:lineRule="auto"/>
                              </w:pPr>
                              <w:r>
                                <w:rPr>
                                  <w:color w:val="ffffff"/>
                                </w:rPr>
                                <w:t xml:space="preserve">Федерация скалолазания России</w:t>
                              </w:r>
                              <w:r/>
                            </w:p>
                            <w:p>
                              <w:pPr>
                                <w:spacing w:after="0" w:line="360" w:lineRule="auto"/>
                              </w:pPr>
                              <w:r>
                                <w:rPr>
                                  <w:color w:val="ffffff"/>
                                </w:rPr>
                                <w:t xml:space="preserve">Москва</w:t>
                              </w:r>
                              <w:r/>
                            </w:p>
                            <w:p>
                              <w:pPr>
                                <w:spacing w:after="0" w:line="360" w:lineRule="auto"/>
                              </w:pPr>
                              <w:r>
                                <w:rPr>
                                  <w:color w:val="ffffff"/>
                                </w:rPr>
                                <w:t xml:space="preserve">0</w:t>
                              </w:r>
                              <w:r>
                                <w:rPr>
                                  <w:color w:val="ffffff"/>
                                  <w:lang w:val="en-US"/>
                                </w:rPr>
                                <w:t xml:space="preserve">1.09.2023</w:t>
                              </w:r>
                              <w:r/>
                            </w:p>
                          </w:txbxContent>
                        </wps:txbx>
                        <wps:bodyPr lIns="365760" tIns="2826720" rIns="182880" bIns="2826720" anchor="b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id="group 1" o:spid="_x0000_s0000" style="position:absolute;z-index:53;o:allowoverlap:true;o:allowincell:false;mso-position-horizontal-relative:page;mso-position-horizontal:right;mso-position-vertical-relative:page;mso-position-vertical:top;width:245.55pt;height:792.00pt;mso-wrap-distance-left:0.00pt;mso-wrap-distance-top:0.00pt;mso-wrap-distance-right:0.00pt;mso-wrap-distance-bottom:0.00pt;" coordorigin="0,0" coordsize="31183,100584">
                <v:group id="group 2" o:spid="_x0000_s0000" style="position:absolute;left:90;top:0;width:31096;height:100584;" coordorigin="0,0" coordsize="0,0">
                  <v:shape id="shape 3" o:spid="_x0000_s3" o:spt="1" type="#_x0000_t1" style="position:absolute;left:1288;top:0;width:29808;height:100584;visibility:visible;" fillcolor="#9BBB59" stroked="f" strokeweight="0.00pt"/>
                  <v:shape id="shape 4" o:spid="_x0000_s4" o:spt="1" type="#_x0000_t1" style="position:absolute;left:0;top:50;width:1224;height:100490;visibility:visible;" fillcolor="#000000" stroked="f" strokeweight="0.00pt"/>
                </v:group>
                <v:shape id="shape 5" o:spid="_x0000_s5" o:spt="1" type="#_x0000_t1" style="position:absolute;left:90;top:0;width:31096;height:25063;v-text-anchor:bottom;visibility:visible;" filled="f" stroked="f" strokeweight="0.00pt">
                  <v:textbox inset="0,0,0,0">
                    <w:txbxContent>
                      <w:p>
                        <w:pPr>
                          <w:spacing w:after="0" w:line="240" w:lineRule="auto"/>
                        </w:pPr>
                        <w:r>
                          <w:rPr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 xml:space="preserve">2023-2032</w:t>
                        </w:r>
                        <w:r/>
                      </w:p>
                    </w:txbxContent>
                  </v:textbox>
                </v:shape>
                <v:shape id="shape 6" o:spid="_x0000_s6" o:spt="1" type="#_x0000_t1" style="position:absolute;left:0;top:67748;width:31050;height:28263;v-text-anchor:bottom;visibility:visible;" filled="f" stroked="f" strokeweight="0.00pt">
                  <v:textbox inset="0,0,0,0">
                    <w:txbxContent>
                      <w:p>
                        <w:pPr>
                          <w:spacing w:after="0" w:line="360" w:lineRule="auto"/>
                        </w:pPr>
                        <w:r>
                          <w:rPr>
                            <w:color w:val="ffffff"/>
                          </w:rPr>
                          <w:t xml:space="preserve">Федерация скалолазания России</w:t>
                        </w:r>
                        <w:r/>
                      </w:p>
                      <w:p>
                        <w:pPr>
                          <w:spacing w:after="0" w:line="360" w:lineRule="auto"/>
                        </w:pPr>
                        <w:r>
                          <w:rPr>
                            <w:color w:val="ffffff"/>
                          </w:rPr>
                          <w:t xml:space="preserve">Москва</w:t>
                        </w:r>
                        <w:r/>
                      </w:p>
                      <w:p>
                        <w:pPr>
                          <w:spacing w:after="0" w:line="360" w:lineRule="auto"/>
                        </w:pPr>
                        <w:r>
                          <w:rPr>
                            <w:color w:val="ffffff"/>
                          </w:rPr>
                          <w:t xml:space="preserve">0</w:t>
                        </w:r>
                        <w:r>
                          <w:rPr>
                            <w:color w:val="ffffff"/>
                            <w:lang w:val="en-US"/>
                          </w:rPr>
                          <w:t xml:space="preserve">1.09.2023</w:t>
                        </w:r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985" distB="5715" distL="6350" distR="6350" simplePos="0" relativeHeight="59" behindDoc="0" locked="0" layoutInCell="0" allowOverlap="1">
                <wp:simplePos x="0" y="0"/>
                <wp:positionH relativeFrom="page">
                  <wp:align>left</wp:align>
                </wp:positionH>
                <wp:positionV relativeFrom="page">
                  <wp:posOffset>2682240</wp:posOffset>
                </wp:positionV>
                <wp:extent cx="6970395" cy="1315085"/>
                <wp:effectExtent l="6350" t="6985" r="6350" b="5715"/>
                <wp:wrapNone/>
                <wp:docPr id="3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970320" cy="13150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244"/>
                              <w:jc w:val="right"/>
                              <w:rPr>
                                <w:rFonts w:asciiTheme="majorHAnsi" w:hAnsiTheme="majorHAnsi" w:eastAsiaTheme="majorEastAsia" w:cstheme="majorBid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eastAsiaTheme="majorEastAsia" w:cstheme="majorBid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КОНЦЕПЦИЯ РАЗВИТИЯ              ФЕДЕРАЦИИ СКАЛОЛАЗАНИЯ РОССИИ     НА ПЕРИОД ДО 2032 ГОДА</w:t>
                            </w:r>
                            <w:r>
                              <w:rPr>
                                <w:rFonts w:asciiTheme="majorHAnsi" w:hAnsiTheme="majorHAnsi" w:eastAsiaTheme="majorEastAsia" w:cstheme="majorBidi"/>
                                <w:color w:val="ffffff" w:themeColor="background1"/>
                                <w:sz w:val="56"/>
                                <w:szCs w:val="56"/>
                              </w:rPr>
                            </w:r>
                          </w:p>
                        </w:txbxContent>
                      </wps:txbx>
                      <wps:bodyPr lIns="182880" rIns="182880" anchor="ctr" upright="1">
                        <a:spAutoFit/>
                      </wps:bodyPr>
                    </wps:wsp>
                  </a:graphicData>
                </a:graphic>
                <wp14:sizeRelH relativeFrom="page">
                  <wp14:pctWidth>90000</wp14:pctWidth>
                </wp14:sizeRelH>
                <wp14:sizeRelV relativeFrom="page">
                  <wp14:pctHeight>7000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59;o:allowoverlap:true;o:allowincell:false;mso-position-horizontal-relative:page;mso-position-horizontal:left;mso-position-vertical-relative:page;margin-top:211.20pt;mso-position-vertical:absolute;width:548.85pt;height:103.55pt;mso-wrap-distance-left:0.50pt;mso-wrap-distance-top:0.55pt;mso-wrap-distance-right:0.50pt;mso-wrap-distance-bottom:0.45pt;v-text-anchor:middle;visibility:visible;" fillcolor="#4F81BD" strokecolor="#FFFFFF" strokeweight="1.00pt">
                <v:textbox inset="0,0,0,0">
                  <w:txbxContent>
                    <w:p>
                      <w:pPr>
                        <w:pStyle w:val="1244"/>
                        <w:jc w:val="right"/>
                        <w:rPr>
                          <w:rFonts w:asciiTheme="majorHAnsi" w:hAnsiTheme="majorHAnsi" w:eastAsiaTheme="majorEastAsia" w:cstheme="majorBidi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 Narrow" w:hAnsi="Arial Narrow" w:eastAsiaTheme="majorEastAsia" w:cstheme="majorBidi"/>
                          <w:color w:val="ffffff" w:themeColor="background1"/>
                          <w:sz w:val="56"/>
                          <w:szCs w:val="56"/>
                        </w:rPr>
                        <w:t xml:space="preserve">КОНЦЕПЦИЯ РАЗВИТИЯ              ФЕДЕРАЦИИ СКАЛОЛАЗАНИЯ РОССИИ     НА ПЕРИОД ДО 2032 ГОДА</w:t>
                      </w:r>
                      <w:r>
                        <w:rPr>
                          <w:rFonts w:asciiTheme="majorHAnsi" w:hAnsiTheme="majorHAnsi" w:eastAsiaTheme="majorEastAsia" w:cstheme="majorBidi"/>
                          <w:color w:val="ffffff" w:themeColor="background1"/>
                          <w:sz w:val="56"/>
                          <w:szCs w:val="5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br w:type="page" w:clear="all"/>
      </w:r>
      <w:r>
        <w:rPr>
          <w:rFonts w:ascii="Arial Narrow" w:hAnsi="Arial Narrow"/>
          <w:sz w:val="44"/>
          <w:szCs w:val="44"/>
        </w:rPr>
      </w:r>
    </w:p>
    <w:p>
      <w:pPr>
        <w:spacing w:after="0"/>
        <w:rPr>
          <w:rFonts w:ascii="Arial Narrow" w:hAnsi="Arial Narrow"/>
          <w:sz w:val="44"/>
          <w:szCs w:val="44"/>
        </w:rPr>
      </w:pPr>
      <w:r>
        <w:rPr>
          <w:rFonts w:ascii="Arial Narrow" w:hAnsi="Arial Narrow" w:eastAsia="Noto Sans CJK SC" w:cs="Noto Sans CJK SC"/>
          <w:b/>
          <w:bCs/>
          <w:color w:val="392e51"/>
          <w:sz w:val="44"/>
          <w:szCs w:val="44"/>
        </w:rPr>
        <w:t xml:space="preserve"> Структура документа:</w:t>
      </w:r>
      <w:r>
        <w:rPr>
          <w:rFonts w:ascii="Arial Narrow" w:hAnsi="Arial Narrow"/>
          <w:sz w:val="44"/>
          <w:szCs w:val="44"/>
        </w:rPr>
      </w:r>
    </w:p>
    <w:p>
      <w:pPr>
        <w:rPr>
          <w:rFonts w:ascii="Arial Narrow" w:hAnsi="Arial Narrow" w:eastAsia="Noto Sans CJK SC" w:cs="Noto Sans CJK SC"/>
          <w:color w:val="262626"/>
          <w:sz w:val="32"/>
          <w:szCs w:val="32"/>
        </w:rPr>
      </w:pPr>
      <w:r>
        <w:rPr>
          <w:rFonts w:ascii="Arial Narrow" w:hAnsi="Arial Narrow" w:eastAsia="Noto Sans CJK SC" w:cs="Noto Sans CJK SC"/>
          <w:color w:val="262626"/>
          <w:sz w:val="32"/>
          <w:szCs w:val="32"/>
        </w:rPr>
      </w:r>
      <w:r>
        <w:rPr>
          <w:rFonts w:ascii="Arial Narrow" w:hAnsi="Arial Narrow" w:eastAsia="Noto Sans CJK SC" w:cs="Noto Sans CJK SC"/>
          <w:color w:val="262626"/>
          <w:sz w:val="32"/>
          <w:szCs w:val="32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233"/>
        <w:gridCol w:w="8620"/>
      </w:tblGrid>
      <w:tr>
        <w:tblPrEx/>
        <w:trPr/>
        <w:tc>
          <w:tcPr>
            <w:shd w:val="clear" w:color="auto" w:fill="c6d9f1" w:themeFill="text2" w:themeFillTint="33"/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c6d9f1" w:themeFill="text2" w:themeFillTint="33"/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  <w:t xml:space="preserve">Введение</w:t>
            </w: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02590" cy="461645"/>
                      <wp:effectExtent l="0" t="0" r="0" b="0"/>
                      <wp:docPr id="4" name="Рисунок 10" descr="https://sun9-37.userapi.com/impg/pK90pgnZSos69TArD-Ig-7haAbsN9q_UttWirA/6IOkp1jpgwo.jpg?size=537x240&amp;quality=96&amp;sign=eeccfc7f155a555077f82e754f669b21&amp;type=shar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Рисунок 10" descr="https://sun9-37.userapi.com/impg/pK90pgnZSos69TArD-Ig-7haAbsN9q_UttWirA/6IOkp1jpgwo.jpg?size=537x240&amp;quality=96&amp;sign=eeccfc7f155a555077f82e754f669b21&amp;type=shar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rcRect l="39290" t="32158" r="38958" b="1187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2590" cy="4616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31.70pt;height:36.3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  <w:t xml:space="preserve">Раздел 1. Государственная политика в области спорта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8645" cy="532130"/>
                      <wp:effectExtent l="0" t="0" r="0" b="0"/>
                      <wp:docPr id="5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Рисунок 1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rcRect l="0" t="0" r="52569" b="809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8645" cy="5321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46.35pt;height:41.90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  <w:t xml:space="preserve">Раздел 2. Общая информация о Федерации скалолазания России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0230" cy="570230"/>
                      <wp:effectExtent l="0" t="0" r="0" b="0"/>
                      <wp:docPr id="6" name="Рисунок 1" descr="https://cdn0.iconfinder.com/data/icons/life-skill-solid-self-improvement/512/problem_solving-102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Рисунок 1" descr="https://cdn0.iconfinder.com/data/icons/life-skill-solid-self-improvement/512/problem_solving-102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0230" cy="5702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44.90pt;height:44.9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  <w:t xml:space="preserve">Раздел 3. Актуальное состояние и проблемы развития скалолазания в России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06730" cy="530860"/>
                      <wp:effectExtent l="0" t="0" r="0" b="0"/>
                      <wp:docPr id="7" name="Рисунок 20" descr="https://www.kindpng.com/picc/m/126-1261431_goals-png-clipart-goal-icon-png-transparent-pn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Рисунок 20" descr="https://www.kindpng.com/picc/m/126-1261431_goals-png-clipart-goal-icon-png-transparent-png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06730" cy="5308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39.90pt;height:41.8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  <w:t xml:space="preserve">Раздел 4. Цели, задачи и риски развития скалолазания на период до 2032 г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4035" cy="534035"/>
                      <wp:effectExtent l="0" t="0" r="0" b="0"/>
                      <wp:docPr id="8" name="Изображение2" descr="https://cdn2.iconfinder.com/data/icons/outline-ui-3-part-2-of-3/100/pack03-25-102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Изображение2" descr="https://cdn2.iconfinder.com/data/icons/outline-ui-3-part-2-of-3/100/pack03-25-102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4035" cy="5340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42.05pt;height:42.0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  <w:t xml:space="preserve">Раздел 5. Основные этапы и результаты реализации Концепции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5315" cy="615315"/>
                      <wp:effectExtent l="0" t="0" r="0" b="0"/>
                      <wp:docPr id="9" name="Picture 2" descr="https://cdn0.iconfinder.com/data/icons/map-location-solid-style/91/Map_-_Location_Solid_Style_14-102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Picture 2" descr="https://cdn0.iconfinder.com/data/icons/map-location-solid-style/91/Map_-_Location_Solid_Style_14-102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5315" cy="6153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48.45pt;height:48.45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  <w:t xml:space="preserve">Раздел 6. Приоритетные направления и целевые показатели                          реализации Концепции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5620" cy="515620"/>
                      <wp:effectExtent l="0" t="0" r="0" b="0"/>
                      <wp:docPr id="10" name="Рисунок 21" descr="https://pfi4.com/wp-content/uploads/2019/07/planning-pn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21" descr="https://pfi4.com/wp-content/uploads/2019/07/planning-png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5620" cy="5156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40.60pt;height:40.6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  <w:t xml:space="preserve">Раздел 7. План мероприятий, нацеленных на реализацию Концепции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3875" cy="523875"/>
                      <wp:effectExtent l="0" t="0" r="0" b="0"/>
                      <wp:docPr id="11" name="Рисунок 8" descr="Монеты контур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Рисунок 8" descr="Монеты контур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41.25pt;height:41.25pt;mso-wrap-distance-left:0.00pt;mso-wrap-distance-top:0.00pt;mso-wrap-distance-right:0.00pt;mso-wrap-distance-bottom:0.00pt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  <w:t xml:space="preserve">Раздел 8. Организационно-финансовое обеспечение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tcW w:w="12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5620" cy="515620"/>
                      <wp:effectExtent l="0" t="0" r="0" b="0"/>
                      <wp:docPr id="12" name="Рисунок 16" descr="https://cdn-icons-png.flaticon.com/512/3712/371223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Рисунок 16" descr="https://cdn-icons-png.flaticon.com/512/3712/371223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5620" cy="5156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40.60pt;height:40.60pt;mso-wrap-distance-left:0.00pt;mso-wrap-distance-top:0.00pt;mso-wrap-distance-right:0.00pt;mso-wrap-distance-bottom:0.00pt;" stroked="false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  <w:t xml:space="preserve">Раздел 9. Механизмы мониторинга и контроля реализации Концепции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shd w:val="clear" w:color="auto" w:fill="auto"/>
            <w:tcW w:w="123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shd w:val="clear" w:color="auto" w:fill="auto"/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r>
          </w:p>
        </w:tc>
      </w:tr>
      <w:tr>
        <w:tblPrEx/>
        <w:trPr/>
        <w:tc>
          <w:tcPr>
            <w:shd w:val="clear" w:color="auto" w:fill="c6d9f1" w:themeFill="text2" w:themeFillTint="33"/>
            <w:tcW w:w="123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shd w:val="clear" w:color="auto" w:fill="c6d9f1" w:themeFill="text2" w:themeFillTint="33"/>
            <w:tcW w:w="86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  <w:t xml:space="preserve">Заключение</w:t>
            </w: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r>
          </w:p>
        </w:tc>
      </w:tr>
    </w:tbl>
    <w:p>
      <w:pPr>
        <w:rPr>
          <w:rFonts w:ascii="Arial Narrow" w:hAnsi="Arial Narrow" w:eastAsia="Noto Sans CJK SC" w:cs="Noto Sans CJK SC"/>
          <w:color w:val="262626"/>
          <w:sz w:val="32"/>
          <w:szCs w:val="32"/>
        </w:rPr>
      </w:pPr>
      <w:r>
        <w:rPr>
          <w:rFonts w:ascii="Arial Narrow" w:hAnsi="Arial Narrow" w:eastAsia="Noto Sans CJK SC" w:cs="Noto Sans CJK SC"/>
          <w:color w:val="262626"/>
          <w:sz w:val="32"/>
          <w:szCs w:val="32"/>
        </w:rPr>
      </w:r>
      <w:r>
        <w:rPr>
          <w:rFonts w:ascii="Arial Narrow" w:hAnsi="Arial Narrow" w:eastAsia="Noto Sans CJK SC" w:cs="Noto Sans CJK SC"/>
          <w:color w:val="262626"/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</w:r>
      <w:r>
        <w:rPr>
          <w:sz w:val="32"/>
          <w:szCs w:val="32"/>
          <w:lang w:val="en-US"/>
        </w:rPr>
      </w:r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</w:r>
      <w:r>
        <w:rPr>
          <w:sz w:val="32"/>
          <w:szCs w:val="32"/>
          <w:lang w:val="en-US"/>
        </w:rPr>
      </w:r>
    </w:p>
    <w:p>
      <w:pPr>
        <w:shd w:val="clear" w:color="auto" w:fill="c6d9f1" w:themeFill="text2" w:themeFillTint="33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Введение</w:t>
      </w:r>
      <w:r>
        <w:rPr>
          <w:rFonts w:ascii="Arial Narrow" w:hAnsi="Arial Narrow"/>
          <w:b/>
          <w:sz w:val="32"/>
          <w:szCs w:val="32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Разработка Концепции</w:t>
      </w:r>
      <w:r>
        <w:rPr>
          <w:rFonts w:ascii="Arial Narrow" w:hAnsi="Arial Narrow"/>
          <w:sz w:val="28"/>
          <w:szCs w:val="28"/>
        </w:rPr>
        <w:t xml:space="preserve"> развития скалолазания в Российской Федерации является важным </w:t>
      </w:r>
      <w:r>
        <w:rPr>
          <w:rFonts w:ascii="Arial Narrow" w:hAnsi="Arial Narrow"/>
          <w:sz w:val="28"/>
          <w:szCs w:val="28"/>
        </w:rPr>
        <w:t xml:space="preserve">стратегическим шагом с целью структурирования, организации и направления развития этого вида спорта в стране. Вот несколько ключевых аргументов, обосновывающих важность разработки</w:t>
      </w:r>
      <w:r>
        <w:rPr>
          <w:rFonts w:ascii="Arial Narrow" w:hAnsi="Arial Narrow"/>
          <w:sz w:val="28"/>
          <w:szCs w:val="28"/>
        </w:rPr>
        <w:t xml:space="preserve"> такой Концепции: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Повышение популярности и массовости скалолазания</w:t>
      </w:r>
      <w:r>
        <w:rPr>
          <w:rFonts w:ascii="Arial Narrow" w:hAnsi="Arial Narrow"/>
          <w:sz w:val="28"/>
          <w:szCs w:val="28"/>
        </w:rPr>
        <w:t xml:space="preserve"> поможет сделать данный вид сп</w:t>
      </w:r>
      <w:r>
        <w:rPr>
          <w:rFonts w:ascii="Arial Narrow" w:hAnsi="Arial Narrow"/>
          <w:sz w:val="28"/>
          <w:szCs w:val="28"/>
        </w:rPr>
        <w:t xml:space="preserve">орта более доступным и привлекательным для широкой аудитории, включая детей, подростков и взрослых.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Развитие </w:t>
      </w:r>
      <w:r>
        <w:rPr>
          <w:rFonts w:ascii="Arial Narrow" w:hAnsi="Arial Narrow" w:cstheme="minorBidi"/>
          <w:b/>
          <w:sz w:val="28"/>
          <w:szCs w:val="28"/>
        </w:rPr>
        <w:t xml:space="preserve">спорта высших достижений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способствует созданию условий для выявления и продвижения талантливых спортсменов, подготовке сильных сборных команд и успехам России на международных соревнованиях.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Детско-юношеский спорт </w:t>
      </w:r>
      <w:r>
        <w:rPr>
          <w:rFonts w:ascii="Arial Narrow" w:hAnsi="Arial Narrow"/>
          <w:sz w:val="28"/>
          <w:szCs w:val="28"/>
        </w:rPr>
        <w:t xml:space="preserve">уделяет внимание развитию скалолазания среди детей и подростков, что способствует их физическому и личностному развитию, а также </w:t>
      </w:r>
      <w:r>
        <w:rPr>
          <w:rFonts w:ascii="Arial Narrow" w:hAnsi="Arial Narrow" w:cstheme="minorBidi"/>
          <w:sz w:val="28"/>
          <w:szCs w:val="28"/>
        </w:rPr>
        <w:t xml:space="preserve">подготовке спортивного резерва.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Инклюзивность и равенство. </w:t>
      </w:r>
      <w:r>
        <w:rPr>
          <w:rFonts w:ascii="Arial Narrow" w:hAnsi="Arial Narrow"/>
          <w:sz w:val="28"/>
          <w:szCs w:val="28"/>
        </w:rPr>
        <w:t xml:space="preserve">Параскалолазание предоставляет людям с физическими и интеллектуальными ограничениями возможность активно участвовать в спортивной деятельности на равных правах с другими спортсменами.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Международное </w:t>
      </w:r>
      <w:r>
        <w:rPr>
          <w:rFonts w:ascii="Arial Narrow" w:hAnsi="Arial Narrow"/>
          <w:b/>
          <w:sz w:val="28"/>
          <w:szCs w:val="28"/>
        </w:rPr>
        <w:t xml:space="preserve">сотрудничество </w:t>
      </w:r>
      <w:r>
        <w:rPr>
          <w:rFonts w:ascii="Arial Narrow" w:hAnsi="Arial Narrow"/>
          <w:bCs/>
          <w:sz w:val="28"/>
          <w:szCs w:val="28"/>
        </w:rPr>
        <w:t xml:space="preserve">помогает</w:t>
      </w:r>
      <w:r>
        <w:rPr>
          <w:rFonts w:ascii="Arial Narrow" w:hAnsi="Arial Narrow"/>
          <w:bCs/>
          <w:sz w:val="28"/>
          <w:szCs w:val="28"/>
        </w:rPr>
        <w:t xml:space="preserve"> укрепить</w:t>
      </w:r>
      <w:r>
        <w:rPr>
          <w:rFonts w:ascii="Arial Narrow" w:hAnsi="Arial Narrow"/>
          <w:sz w:val="28"/>
          <w:szCs w:val="28"/>
        </w:rPr>
        <w:t xml:space="preserve"> позиции России в </w:t>
      </w:r>
      <w:r>
        <w:rPr>
          <w:rFonts w:ascii="Arial Narrow" w:hAnsi="Arial Narrow"/>
          <w:sz w:val="28"/>
          <w:szCs w:val="28"/>
        </w:rPr>
        <w:t xml:space="preserve">мировом  спортивном</w:t>
      </w:r>
      <w:r>
        <w:rPr>
          <w:rFonts w:ascii="Arial Narrow" w:hAnsi="Arial Narrow"/>
          <w:sz w:val="28"/>
          <w:szCs w:val="28"/>
        </w:rPr>
        <w:t xml:space="preserve"> движении, способствует развитию отношений с международными и национальными федерациями и организациями, дает возможности достижения целей государственной политики в сфере спорта.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Мировой уровень соревнований. </w:t>
      </w:r>
      <w:r>
        <w:rPr>
          <w:rFonts w:ascii="Arial Narrow" w:hAnsi="Arial Narrow"/>
          <w:sz w:val="28"/>
          <w:szCs w:val="28"/>
        </w:rPr>
        <w:t xml:space="preserve">Скалолазание широко распространено во всем мире, как спорт высших достижений, и включено в программу Олимпийских игр, что дает спортсменам возможность представить свои страны на международной арене на высшем уровне.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Инфраструктура. </w:t>
      </w:r>
      <w:r>
        <w:rPr>
          <w:rFonts w:ascii="Arial Narrow" w:hAnsi="Arial Narrow"/>
          <w:sz w:val="28"/>
          <w:szCs w:val="28"/>
        </w:rPr>
        <w:t xml:space="preserve">Современная высококачественная инфраструктура в каждом регионе страны — важное условие высоких спортивных результатов и развития скалолазания, как массового спорта и активного здорового образа жизни.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</w:pPr>
      <w:r>
        <w:rPr>
          <w:rFonts w:ascii="Arial Narrow" w:hAnsi="Arial Narrow"/>
          <w:b/>
          <w:bCs/>
          <w:sz w:val="28"/>
          <w:szCs w:val="28"/>
        </w:rPr>
        <w:t xml:space="preserve">Подготовка кадров и профессиональное развитие.</w:t>
      </w:r>
      <w:r>
        <w:rPr>
          <w:rFonts w:ascii="Arial Narrow" w:hAnsi="Arial Narrow"/>
          <w:sz w:val="28"/>
          <w:szCs w:val="28"/>
        </w:rPr>
        <w:t xml:space="preserve"> Создание современных обучающих программ для всех </w:t>
      </w:r>
      <w:r>
        <w:rPr>
          <w:rFonts w:ascii="Arial Narrow" w:hAnsi="Arial Narrow"/>
          <w:sz w:val="28"/>
          <w:szCs w:val="28"/>
        </w:rPr>
        <w:t xml:space="preserve">категорий специалистов</w:t>
      </w:r>
      <w:r>
        <w:rPr>
          <w:rFonts w:ascii="Arial Narrow" w:hAnsi="Arial Narrow"/>
          <w:sz w:val="28"/>
          <w:szCs w:val="28"/>
        </w:rPr>
        <w:t xml:space="preserve">, организация их обучения, повышения квалификации, сертификации и аттестации неразрывно связано с развитием инфраструктуры и должны обеспечивать ее наиболее эффективное и безопасное использование.</w:t>
      </w:r>
      <w:r/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Безопасность. </w:t>
      </w:r>
      <w:r>
        <w:rPr>
          <w:rFonts w:ascii="Arial Narrow" w:hAnsi="Arial Narrow" w:cstheme="minorBidi"/>
          <w:sz w:val="28"/>
          <w:szCs w:val="28"/>
        </w:rPr>
        <w:t xml:space="preserve">Вопросы безопасности скалолазов и разработка стандартов безопасности на скалодромах и скалах имеют ключевое значение для развития спорта, так как</w:t>
      </w:r>
      <w:r>
        <w:rPr>
          <w:rFonts w:ascii="Arial Narrow" w:hAnsi="Arial Narrow"/>
          <w:sz w:val="28"/>
          <w:szCs w:val="28"/>
        </w:rPr>
        <w:t xml:space="preserve"> это способствует снижению </w:t>
      </w:r>
      <w:r>
        <w:rPr>
          <w:rFonts w:ascii="Arial Narrow" w:hAnsi="Arial Narrow"/>
          <w:sz w:val="28"/>
          <w:szCs w:val="28"/>
        </w:rPr>
        <w:t xml:space="preserve">рисков, повышению</w:t>
      </w:r>
      <w:r>
        <w:rPr>
          <w:rFonts w:ascii="Arial Narrow" w:hAnsi="Arial Narrow"/>
          <w:sz w:val="28"/>
          <w:szCs w:val="28"/>
        </w:rPr>
        <w:t xml:space="preserve"> безопасности работы скалодромов, популяризации вида спорта.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Туризм и природа. </w:t>
      </w:r>
      <w:r>
        <w:rPr>
          <w:rFonts w:ascii="Arial Narrow" w:hAnsi="Arial Narrow"/>
          <w:sz w:val="28"/>
          <w:szCs w:val="28"/>
        </w:rPr>
        <w:t xml:space="preserve">Лазание на скалах дает возможность соприкоснуться с дикой природой, что также способствует развитию туризма и сохранению окружающей среды.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"/>
        </w:numPr>
        <w:contextualSpacing w:val="0"/>
        <w:ind w:left="0" w:firstLine="0"/>
        <w:jc w:val="both"/>
        <w:spacing w:after="20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Популяризация экстремальных видов спорта. </w:t>
      </w:r>
      <w:r>
        <w:rPr>
          <w:rFonts w:ascii="Arial Narrow" w:hAnsi="Arial Narrow"/>
          <w:bCs/>
          <w:sz w:val="28"/>
          <w:szCs w:val="28"/>
        </w:rPr>
        <w:t xml:space="preserve">Имидж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скалолазания, </w:t>
      </w:r>
      <w:r>
        <w:rPr>
          <w:rFonts w:ascii="Arial Narrow" w:hAnsi="Arial Narrow"/>
          <w:sz w:val="28"/>
          <w:szCs w:val="28"/>
        </w:rPr>
        <w:t xml:space="preserve">как  экстремального</w:t>
      </w:r>
      <w:r>
        <w:rPr>
          <w:rFonts w:ascii="Arial Narrow" w:hAnsi="Arial Narrow"/>
          <w:sz w:val="28"/>
          <w:szCs w:val="28"/>
        </w:rPr>
        <w:t xml:space="preserve"> вида спорта, способствует популяризации этой сферы и привлечению молодежи.</w:t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28"/>
        <w:gridCol w:w="8725"/>
      </w:tblGrid>
      <w:tr>
        <w:tblPrEx/>
        <w:trPr/>
        <w:tc>
          <w:tcPr>
            <w:tcW w:w="11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9755" cy="556260"/>
                      <wp:effectExtent l="0" t="0" r="0" b="0"/>
                      <wp:docPr id="13" name="Рисунок 15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Рисунок 15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9755" cy="556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45.65pt;height:43.8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872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Согласно проведенным опросам </w:t>
            </w:r>
            <w:r>
              <w:rPr>
                <w:rFonts w:ascii="Arial" w:hAnsi="Arial" w:eastAsia="Calibri" w:cs="Arial"/>
                <w:i/>
                <w:sz w:val="28"/>
                <w:szCs w:val="28"/>
              </w:rPr>
              <w:t xml:space="preserve">в </w:t>
            </w: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скалолаз</w:t>
            </w:r>
            <w:r>
              <w:rPr>
                <w:rFonts w:ascii="Arial" w:hAnsi="Arial" w:eastAsia="Calibri" w:cs="Arial"/>
                <w:i/>
                <w:sz w:val="28"/>
                <w:szCs w:val="28"/>
              </w:rPr>
              <w:t xml:space="preserve">ном сообществе</w:t>
            </w: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, более 60% респондентов выразили мнение о том, что Концепция развития скалолазания нуждается в новой разработке.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center"/>
        <w:spacing w:after="0"/>
        <w:rPr>
          <w:rFonts w:ascii="Arial Narrow" w:hAnsi="Arial Narrow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6110" cy="1441450"/>
                <wp:effectExtent l="0" t="0" r="0" b="0"/>
                <wp:docPr id="14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Рисунок 3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706110" cy="1441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49.30pt;height:113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 учето</w:t>
      </w:r>
      <w:r>
        <w:rPr>
          <w:rFonts w:ascii="Arial Narrow" w:hAnsi="Arial Narrow"/>
          <w:sz w:val="28"/>
          <w:szCs w:val="28"/>
        </w:rPr>
        <w:t xml:space="preserve">м вышеперечисленных аргументов разработка Концепции является важным инструментом для создания комплексного и устойчивого развития скалолазания в стране, способствует улучшению физического здоровья населения и продвижению России на мировой спортивной арене.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Концепция развития Федерации скалолазания России (ФСР)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— это</w:t>
      </w:r>
      <w:r>
        <w:rPr>
          <w:rFonts w:ascii="Arial Narrow" w:hAnsi="Arial Narrow"/>
          <w:sz w:val="28"/>
          <w:szCs w:val="28"/>
        </w:rPr>
        <w:t xml:space="preserve"> стратегический документ, определяющий цели, задачи и основные направления развития скалолазания в стране.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120" w:after="0"/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Theme="minorEastAsia"/>
          <w:b/>
          <w:sz w:val="28"/>
          <w:szCs w:val="28"/>
          <w:lang w:eastAsia="ru-RU"/>
        </w:rPr>
        <w:t xml:space="preserve">Основные цели и задачи разработки Концепции</w:t>
      </w:r>
      <w:r>
        <w:rPr>
          <w:rFonts w:ascii="Arial Narrow" w:hAnsi="Arial Narrow" w:eastAsiaTheme="minorEastAsia"/>
          <w:sz w:val="28"/>
          <w:szCs w:val="28"/>
          <w:lang w:eastAsia="ru-RU"/>
        </w:rPr>
        <w:t xml:space="preserve"> - сформировать</w:t>
      </w:r>
      <w:r>
        <w:rPr>
          <w:rFonts w:ascii="Arial Narrow" w:hAnsi="Arial Narrow" w:eastAsiaTheme="minorEastAsia"/>
          <w:sz w:val="28"/>
          <w:szCs w:val="28"/>
          <w:lang w:eastAsia="ru-RU"/>
        </w:rPr>
        <w:t xml:space="preserve"> видение развития скалолазания в России на международном, национальном и региональном уровнях на период до 2032 года, обеспечить согласование имеющихся ресурсов и потенциалов с принципами государственной политики РФ в области развития физкультуры и спорта.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подготовке информации и создании документа </w:t>
      </w:r>
      <w:r>
        <w:rPr>
          <w:rFonts w:ascii="Arial Narrow" w:hAnsi="Arial Narrow"/>
          <w:b/>
          <w:sz w:val="28"/>
          <w:szCs w:val="28"/>
        </w:rPr>
        <w:t xml:space="preserve">принимали участие</w:t>
      </w:r>
      <w:r>
        <w:rPr>
          <w:rFonts w:ascii="Arial Narrow" w:hAnsi="Arial Narrow"/>
          <w:sz w:val="28"/>
          <w:szCs w:val="28"/>
        </w:rPr>
        <w:t xml:space="preserve">: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Руководители и ключевые сотрудники ФСР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"/>
        </w:numPr>
        <w:contextualSpacing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Руководители региональных </w:t>
      </w:r>
      <w:r>
        <w:rPr>
          <w:rFonts w:ascii="Arial Narrow" w:hAnsi="Arial Narrow" w:cstheme="minorBidi"/>
          <w:sz w:val="28"/>
          <w:szCs w:val="28"/>
        </w:rPr>
        <w:t xml:space="preserve">федераций — членов</w:t>
      </w:r>
      <w:r>
        <w:rPr>
          <w:rFonts w:ascii="Arial Narrow" w:hAnsi="Arial Narrow"/>
          <w:sz w:val="28"/>
          <w:szCs w:val="28"/>
        </w:rPr>
        <w:t xml:space="preserve"> ФСР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"/>
        </w:numPr>
        <w:contextualSpacing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Тренерский состав ФСР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"/>
        </w:numPr>
        <w:contextualSpacing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Спортсмены сборной РФ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"/>
        </w:numPr>
        <w:contextualSpacing w:val="0"/>
        <w:jc w:val="both"/>
        <w:rPr>
          <w:rFonts w:cstheme="minorBidi"/>
        </w:rPr>
      </w:pPr>
      <w:r>
        <w:rPr>
          <w:rFonts w:ascii="Arial Narrow" w:hAnsi="Arial Narrow" w:cstheme="minorBidi"/>
          <w:sz w:val="28"/>
          <w:szCs w:val="28"/>
        </w:rPr>
        <w:t xml:space="preserve">Руководители российских скалодромов</w:t>
      </w:r>
      <w:r>
        <w:rPr>
          <w:rFonts w:cstheme="minorBidi"/>
        </w:rPr>
      </w:r>
    </w:p>
    <w:p>
      <w:pPr>
        <w:pStyle w:val="1247"/>
        <w:numPr>
          <w:ilvl w:val="0"/>
          <w:numId w:val="2"/>
        </w:numPr>
        <w:contextualSpacing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Любители скалолазания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"/>
        </w:numPr>
        <w:contextualSpacing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Родители спортсменов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"/>
        </w:numPr>
        <w:contextualSpacing w:val="0"/>
        <w:jc w:val="both"/>
        <w:spacing w:after="20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Внешние эксперты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процессе сбора и анализа информации использовались следующие </w:t>
      </w:r>
      <w:r>
        <w:rPr>
          <w:rFonts w:ascii="Arial Narrow" w:hAnsi="Arial Narrow"/>
          <w:b/>
          <w:sz w:val="28"/>
          <w:szCs w:val="28"/>
        </w:rPr>
        <w:t xml:space="preserve">методы исследований</w:t>
      </w:r>
      <w:r>
        <w:rPr>
          <w:rFonts w:ascii="Arial Narrow" w:hAnsi="Arial Narrow"/>
          <w:sz w:val="28"/>
          <w:szCs w:val="28"/>
        </w:rPr>
        <w:t xml:space="preserve">: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Анализ документов из открытых внешних и внутренних источников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"/>
        </w:numPr>
        <w:contextualSpacing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Анкетирование целевых групп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"/>
        </w:numPr>
        <w:contextualSpacing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Сбор статистических данных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"/>
        </w:numPr>
        <w:contextualSpacing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Проведение экспертных интервью с руководителями и ключевыми сотрудниками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"/>
        </w:numPr>
        <w:contextualSpacing w:val="0"/>
        <w:jc w:val="both"/>
        <w:spacing w:after="20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Организация форсайт-сессий с участием внутренних и внешних экспертов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Метод дедукции, используемый в написании концепции, является логическим методом рассуждения, основанным на принципе перехода от общего к частному. В контек</w:t>
      </w:r>
      <w:r>
        <w:rPr>
          <w:rFonts w:ascii="Arial Narrow" w:hAnsi="Arial Narrow"/>
          <w:sz w:val="28"/>
          <w:szCs w:val="28"/>
        </w:rPr>
        <w:t xml:space="preserve">сте написания концепции, данный метод позволяет выявить и формулировать основные принципы, цели и задачи. Он помогает логически связать общие концептуальные положения с конкретными действиями и мероприятиями, необходимыми для достижения поставленных целей.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Применение метода дедукции в написании концепции позволяет системати</w:t>
      </w:r>
      <w:r>
        <w:rPr>
          <w:rFonts w:ascii="Arial Narrow" w:hAnsi="Arial Narrow"/>
          <w:sz w:val="28"/>
          <w:szCs w:val="28"/>
        </w:rPr>
        <w:t xml:space="preserve">зировать информацию, определить логическую последовательность шагов и аргументов, а также обосновать принимаемые решения на основе логических выводов. Это помогает создать четкую и последовательную концепцию, основанную на логических связях и аргументации.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Полученные материалы распределены по 11 тематическим разделам, включая введение и заключение.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Уровень конфиденциальности данного документа может быть отнесен к Первому классу конфиденциальности </w:t>
      </w:r>
      <w:r>
        <w:rPr>
          <w:rFonts w:ascii="Arial Narrow" w:hAnsi="Arial Narrow"/>
          <w:sz w:val="28"/>
          <w:szCs w:val="28"/>
        </w:rPr>
        <w:t xml:space="preserve">- Публичная</w:t>
      </w:r>
      <w:r>
        <w:rPr>
          <w:rFonts w:ascii="Arial Narrow" w:hAnsi="Arial Narrow"/>
          <w:sz w:val="28"/>
          <w:szCs w:val="28"/>
        </w:rPr>
        <w:t xml:space="preserve"> информация (Public): «Информация, которая не содержит чувствительных данных и может быть свободно доступной для публичного обозрения».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942"/>
        <w:gridCol w:w="8911"/>
      </w:tblGrid>
      <w:tr>
        <w:tblPrEx/>
        <w:trPr/>
        <w:tc>
          <w:tcPr>
            <w:tcW w:w="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02590" cy="461645"/>
                      <wp:effectExtent l="0" t="0" r="0" b="0"/>
                      <wp:docPr id="15" name="Рисунок 5" descr="https://sun9-37.userapi.com/impg/pK90pgnZSos69TArD-Ig-7haAbsN9q_UttWirA/6IOkp1jpgwo.jpg?size=537x240&amp;quality=96&amp;sign=eeccfc7f155a555077f82e754f669b21&amp;type=shar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Рисунок 5" descr="https://sun9-37.userapi.com/impg/pK90pgnZSos69TArD-Ig-7haAbsN9q_UttWirA/6IOkp1jpgwo.jpg?size=537x240&amp;quality=96&amp;sign=eeccfc7f155a555077f82e754f669b21&amp;type=shar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rcRect l="39290" t="32158" r="38958" b="1187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2590" cy="4616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width:31.70pt;height:36.3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W w:w="891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  <w:t xml:space="preserve">Раздел 1.</w:t>
            </w: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  <w:t xml:space="preserve">Государственная политика в области спорта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Спорт играет важную р</w:t>
      </w:r>
      <w:r>
        <w:rPr>
          <w:rFonts w:ascii="Arial Narrow" w:hAnsi="Arial Narrow"/>
          <w:sz w:val="28"/>
          <w:szCs w:val="28"/>
        </w:rPr>
        <w:t xml:space="preserve">оль в социокультурной и физической жизни Российской Федерации. Государство активно включается в развитие спорта, стремясь достичь различных целей, таких как здоровье нации, поддержка здорового образа жизни, достижение высоких результатов в мировом и национ</w:t>
      </w:r>
      <w:r>
        <w:rPr>
          <w:rFonts w:ascii="Arial Narrow" w:hAnsi="Arial Narrow"/>
          <w:sz w:val="28"/>
          <w:szCs w:val="28"/>
        </w:rPr>
        <w:t xml:space="preserve">альном уровне, укрепление международных и общественных связей.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области развития физкультуры и спорта</w:t>
      </w:r>
      <w:r>
        <w:t xml:space="preserve">, </w:t>
      </w:r>
      <w:r>
        <w:rPr>
          <w:rFonts w:ascii="Arial Narrow" w:hAnsi="Arial Narrow"/>
          <w:sz w:val="28"/>
          <w:szCs w:val="28"/>
        </w:rPr>
        <w:t xml:space="preserve">а также в области развития детско-юношеского спорта в Российской Федерации существует ряд важных законодате</w:t>
      </w:r>
      <w:r>
        <w:rPr>
          <w:rFonts w:ascii="Arial Narrow" w:hAnsi="Arial Narrow"/>
          <w:sz w:val="28"/>
          <w:szCs w:val="28"/>
        </w:rPr>
        <w:t xml:space="preserve">льных актов, программ и проектов, ориентированных на поддержку и развитие физической активности граждан и повышения уровня спортивных достижений. Ниже представлен перечень основных законодательных актов, закрепляющих основополагающие принципы деятельности: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Федеральные законы: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6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Гражданский кодекс РФ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6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Федеральный закон от 19.05.1995 N 82-ФЗ "Об общественных объединениях"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6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Федеральный закон от 12.01.1996 N 7-ФЗ "О некоммерческих организациях"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6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Федеральный закон от 04.12.2007 N 329-ФЗ "О физической культуре и спорте в РФ"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6"/>
        </w:numPr>
        <w:contextualSpacing w:val="0"/>
        <w:ind w:left="0" w:firstLine="0"/>
        <w:jc w:val="both"/>
        <w:spacing w:after="200"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Федеральный закон от 29.12.2012 N 273-ФЗ (ред. от 07.10.2022) "Об образовании в Российской Федерации"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426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Подзаконные акты: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7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Приказ Минспорта России от 01.08.2014 N 663 "Об утверждении Порядка проведения государственной аккредитации региональных общественных организаций или структур</w:t>
      </w:r>
      <w:r>
        <w:rPr>
          <w:rFonts w:ascii="Arial Narrow" w:hAnsi="Arial Narrow"/>
          <w:sz w:val="28"/>
          <w:szCs w:val="28"/>
        </w:rPr>
        <w:t xml:space="preserve">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 спортивной федерации"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7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Приказ Минспорта России от 30.06.2021 N 503 "Об утверждении порядка разработки и представления общероссийскими спортивными федерациями в Министерство спорта Российской Федерации программ развития соответствующих видов спорта в Российской Федерации"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7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Приказ Минспорта России от 27.08.2021 N 667 "Об утверждении порядка включения физкультурных и спортивных мероприятий (в том числе значимых международных официальных физкультурных мероприятий и спортивных мероприятий) в Единый </w:t>
      </w:r>
      <w:r>
        <w:rPr>
          <w:rFonts w:ascii="Arial Narrow" w:hAnsi="Arial Narrow"/>
          <w:sz w:val="28"/>
          <w:szCs w:val="28"/>
        </w:rPr>
        <w:t xml:space="preserve">календарный план межрегиональных, всероссийских и международных физкультурных мероприятий и спортивных мероприятий".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7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Приказ Министерства спорта Российской Федерации № 904 от 02.11.2022 "Об утверждении федерального стандарта спортивной подготовки по виду спорта "скалолазание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7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Приказ Минспорта России от 19.12.2022 N 1255 "Об утверждении положения о Единой всероссийской спортивной классификации"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7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</w:t>
      </w:r>
      <w:r>
        <w:rPr>
          <w:rFonts w:ascii="Arial Narrow" w:hAnsi="Arial Narrow"/>
          <w:sz w:val="28"/>
          <w:szCs w:val="28"/>
        </w:rPr>
        <w:t xml:space="preserve">риказ Минздравсоцразвития РФ от 15.08.2011 N 916н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7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Профессиональные стандарты, утверждаемые Минтруда РФ (Спортсмен, тренер, спортивный судья и др.)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7"/>
        </w:numPr>
        <w:contextualSpacing w:val="0"/>
        <w:ind w:left="0" w:firstLine="0"/>
        <w:jc w:val="both"/>
        <w:spacing w:after="200"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Правила вида спорта "скалолазание" (утв. приказом Минспорта России от 10.10.2022 </w:t>
      </w:r>
      <w:r>
        <w:rPr>
          <w:rFonts w:ascii="Arial Narrow" w:hAnsi="Arial Narrow"/>
          <w:sz w:val="28"/>
          <w:szCs w:val="28"/>
          <w:lang w:val="en-US"/>
        </w:rPr>
        <w:t xml:space="preserve">N</w:t>
      </w:r>
      <w:r>
        <w:rPr>
          <w:rFonts w:ascii="Arial Narrow" w:hAnsi="Arial Narrow"/>
          <w:sz w:val="28"/>
          <w:szCs w:val="28"/>
        </w:rPr>
        <w:t xml:space="preserve"> 809)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Государственные программы и стратегии: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1.</w:t>
      </w:r>
      <w:r>
        <w:rPr>
          <w:rFonts w:ascii="Arial Narrow" w:hAnsi="Arial Narrow"/>
          <w:sz w:val="28"/>
          <w:szCs w:val="28"/>
        </w:rPr>
        <w:tab/>
        <w:t xml:space="preserve">Постановление Правит</w:t>
      </w:r>
      <w:r>
        <w:rPr>
          <w:rFonts w:ascii="Arial Narrow" w:hAnsi="Arial Narrow"/>
          <w:sz w:val="28"/>
          <w:szCs w:val="28"/>
        </w:rPr>
        <w:t xml:space="preserve">ельства РФ от 30.09.2021 N 1661 "Об утверждении государственной программы Российской Федерации "Развитие физической культуры и спорта" и о признании утратившими силу некоторых актов и отдельных положений некоторых актов Правительства Российской Федерации"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</w:t>
      </w:r>
      <w:r>
        <w:rPr>
          <w:rFonts w:ascii="Arial Narrow" w:hAnsi="Arial Narrow"/>
          <w:sz w:val="28"/>
          <w:szCs w:val="28"/>
        </w:rPr>
        <w:tab/>
        <w:t xml:space="preserve">Распоряжение Правительства РФ от 24.11.2020 N 3081-</w:t>
      </w:r>
      <w:r>
        <w:rPr>
          <w:rFonts w:ascii="Arial Narrow" w:hAnsi="Arial Narrow"/>
          <w:sz w:val="28"/>
          <w:szCs w:val="28"/>
        </w:rPr>
        <w:t xml:space="preserve">р  «</w:t>
      </w:r>
      <w:r>
        <w:rPr>
          <w:rFonts w:ascii="Arial Narrow" w:hAnsi="Arial Narrow"/>
          <w:sz w:val="28"/>
          <w:szCs w:val="28"/>
        </w:rPr>
        <w:t xml:space="preserve">Об утверждении Стратегии развития физической культуры и спорта в Российской Федерации на период до 2030 года»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</w:t>
      </w:r>
      <w:r>
        <w:rPr>
          <w:rFonts w:ascii="Arial Narrow" w:hAnsi="Arial Narrow"/>
          <w:sz w:val="28"/>
          <w:szCs w:val="28"/>
        </w:rPr>
        <w:tab/>
        <w:t xml:space="preserve">Распоряжение Правительства РФ от 28.12.2021 N 3894-р  «Об утверждении Концепции развит</w:t>
      </w:r>
      <w:r>
        <w:rPr>
          <w:rFonts w:ascii="Arial Narrow" w:hAnsi="Arial Narrow"/>
          <w:sz w:val="28"/>
          <w:szCs w:val="28"/>
        </w:rPr>
        <w:t xml:space="preserve">ия детско-юношеского спорта в Российской Федерации до 2030 года и плана мероприятий по ее реализации»  (вместе с "Планом мероприятий по реализации Концепции развития детско-юношеского спорта в Российской Федерации до 2030 года, I этап (2022 - 2024 годы)")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4.</w:t>
      </w:r>
      <w:r>
        <w:rPr>
          <w:rFonts w:ascii="Arial Narrow" w:hAnsi="Arial Narrow"/>
          <w:sz w:val="28"/>
          <w:szCs w:val="28"/>
        </w:rPr>
        <w:tab/>
        <w:t xml:space="preserve">Распоряжение Правительства РФ от 17.10.2018 N 2245-р «Об утверждении Концепции подготовки спортивного резерва в РФ до 2025 года» (вместе с "Планом мероприятий по реализации Концепции подготовки спортивного резерва в Российской Федерации до 2025 года")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5.</w:t>
      </w:r>
      <w:r>
        <w:rPr>
          <w:rFonts w:ascii="Arial Narrow" w:hAnsi="Arial Narrow"/>
          <w:sz w:val="28"/>
          <w:szCs w:val="28"/>
        </w:rPr>
        <w:tab/>
        <w:t xml:space="preserve">Распоряжение Правительства РФ от 03.06.2019 N 1188-р «Об утверждении Стратегии развития спортивной индустрии до 2035 года»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6.</w:t>
      </w:r>
      <w:r>
        <w:rPr>
          <w:rFonts w:ascii="Arial Narrow" w:hAnsi="Arial Narrow"/>
          <w:sz w:val="28"/>
          <w:szCs w:val="28"/>
        </w:rPr>
        <w:tab/>
        <w:t xml:space="preserve">Постановление Правительства РФ от 26.12.2017 N 1642 "Об утверждении государственной программы Российской Федерации "Развитие образования".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7.  Указ Президента Российской Федерации от 18.08.1994 г. № 1696 «О президентской программе «Дети России»»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Проекты и инициативы: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5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Президентская Программа «Здоровье Нации», утверждена решением Экспертно-Консультативного Совета по проблемам нацио</w:t>
      </w:r>
      <w:r>
        <w:rPr>
          <w:rFonts w:ascii="Arial Narrow" w:hAnsi="Arial Narrow"/>
          <w:sz w:val="28"/>
          <w:szCs w:val="28"/>
        </w:rPr>
        <w:t xml:space="preserve">нальной безопасности при Председателе Государственной Думы Федерального собрания Российской Федерации и одобренная Председателем Государственной Думы - программная инициатива, способствующая укреплению здоровья населения через физическую активность и спорт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5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Федеральный проект «Спорт-норма жизни» национального проекта «Демография» - нацелен на создание для всех категорий граждан условий для занятий физической культурой и спортом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5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Проект "Молодежь в спорте" - инициатива, направленная на поддержку и стимулирование молодежи к занятиям спортом и физической активностью, ориентирована на поддержку молодых талантов в спорте, включая предоставление стипендий и обучение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5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Программа "Развитие скалолазания в Российской Федерации до 2024 года" - конкретная инициатива по развитию скалолазания, включая строительство скалодромов, поддержку молодых талантов и организацию соревнований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5"/>
        </w:numPr>
        <w:contextualSpacing w:val="0"/>
        <w:ind w:left="0" w:firstLine="0"/>
        <w:jc w:val="both"/>
        <w:spacing w:after="200"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Проекты по строительству скалодромов и скалолазных объектов в различных регионах России - множество региональных и местных инициатив по созданию современных скалолазных объектов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Эти документы и инициативы являются важными для опре</w:t>
      </w:r>
      <w:r>
        <w:rPr>
          <w:rFonts w:ascii="Arial Narrow" w:hAnsi="Arial Narrow"/>
          <w:sz w:val="28"/>
          <w:szCs w:val="28"/>
        </w:rPr>
        <w:t xml:space="preserve">деления стратегических целей и мероприятий в сфере физической культуры и спорта в России и направлены на создание благоприятных условий для развития спорта на всех уровнях, а также создания условий для физического и спортивного развития молодого поколения.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28"/>
        <w:gridCol w:w="8725"/>
      </w:tblGrid>
      <w:tr>
        <w:tblPrEx/>
        <w:trPr/>
        <w:tc>
          <w:tcPr>
            <w:tcW w:w="11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9755" cy="556260"/>
                      <wp:effectExtent l="0" t="0" r="0" b="0"/>
                      <wp:docPr id="16" name="Изображение3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Изображение3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9755" cy="556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45.65pt;height:43.8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872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Согласно проведенным опросам среди </w:t>
            </w:r>
            <w:r>
              <w:rPr>
                <w:rFonts w:ascii="Arial" w:hAnsi="Arial" w:eastAsia="Calibri" w:cs="Arial"/>
                <w:i/>
                <w:sz w:val="28"/>
                <w:szCs w:val="28"/>
              </w:rPr>
              <w:t xml:space="preserve">скалолазного сообщества</w:t>
            </w: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, около 70% респондентов знакомы с государственной политикой в области спорта в целом, и скалолазания в частности.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center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center"/>
        <w:spacing w:after="0"/>
        <w:rPr>
          <w:rFonts w:ascii="Arial Narrow" w:hAnsi="Arial Narrow"/>
          <w:b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01800" cy="1654810"/>
                <wp:effectExtent l="0" t="0" r="0" b="0"/>
                <wp:docPr id="17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Рисунок 2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1701800" cy="1654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134.00pt;height:130.3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97990" cy="1651000"/>
                <wp:effectExtent l="0" t="0" r="0" b="0"/>
                <wp:docPr id="18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1697990" cy="165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133.70pt;height:130.0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04340" cy="1657350"/>
                <wp:effectExtent l="0" t="0" r="0" b="0"/>
                <wp:docPr id="1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1704340" cy="1657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134.20pt;height:130.50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Основные аспекты государственной политики РФ в области спорта: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 xml:space="preserve">Финансирование: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Государство выделяет значительные средства на поддержку спорта. Бюджетные ассигнования направлены на строительство и обновление спортивной инфраструктуры, финансирование реализации национальных проектов и программ.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2.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 xml:space="preserve">Развитие инфраструктуры: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Важным направлением политики РФ является создание современной спортивной инфраструктуры, включая стадионы, спортивные комплексы, базы для тренировок и другие объекты. Это способствует развитию массового и профессионального спорта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3.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 xml:space="preserve">Поддержка детско-юношеского спорта: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Государство активно содействует развити</w:t>
      </w:r>
      <w:r>
        <w:rPr>
          <w:rFonts w:ascii="Arial Narrow" w:hAnsi="Arial Narrow"/>
          <w:sz w:val="28"/>
          <w:szCs w:val="28"/>
        </w:rPr>
        <w:t xml:space="preserve">ю детско-юношеского спорта, считая его одним из ключевых элементов спортивной политики. Программы поддержки включают в себя финансирование спортивных школ, обеспечение снаряжением и тренерскими кадрами, а также организацию соревнований на различных уровнях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4.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 xml:space="preserve">Популяризация спорта и здорового образа жизни: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Государство проводит масштабные информационные кампании, призывая население к занятию физической активностью и поддерживая спортивные события на национальном и мировом уровне.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5.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 xml:space="preserve">Участие в мировых спортивных мероприятиях и проведение таких мероприятий: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Россия активно участвует в мировых спортивных соревнованиях, таких как Олимпийские игры, Чемпионаты мира и Ев</w:t>
      </w:r>
      <w:r>
        <w:rPr>
          <w:rFonts w:ascii="Arial Narrow" w:hAnsi="Arial Narrow"/>
          <w:sz w:val="28"/>
          <w:szCs w:val="28"/>
        </w:rPr>
        <w:t xml:space="preserve">ропы. Государство оказывает поддержку российским спортсменам и спортивным командам, стремясь достичь выдающихся результатов. Россия проводит большое количество соревнований и мероприятий высшего мирового уровня, в чем государство также оказывает поддержку.</w:t>
      </w:r>
      <w:r/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6.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 xml:space="preserve">Противодействие допингу: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Россия активно сотрудничает с мировыми антидопинговыми организациями и предпринимает меры по борьбе с допингом в спорте, соблюдая международные стандарты и требования.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Государственная политика РФ в области спорта является многогранной и охватывает различные аспекты спортивной деятельности. Поддержка массового спорта и </w:t>
      </w:r>
      <w:r>
        <w:rPr>
          <w:rFonts w:ascii="Arial Narrow" w:hAnsi="Arial Narrow"/>
          <w:sz w:val="28"/>
          <w:szCs w:val="28"/>
        </w:rPr>
        <w:t xml:space="preserve">спорта высших</w:t>
      </w:r>
      <w:r>
        <w:rPr>
          <w:rFonts w:ascii="Arial Narrow" w:hAnsi="Arial Narrow"/>
          <w:sz w:val="28"/>
          <w:szCs w:val="28"/>
        </w:rPr>
        <w:t xml:space="preserve"> достижений, развитие инфраструктуры и участие в мировых соревнованиях остаются важными приоритетами. Спорт </w:t>
      </w:r>
      <w:r>
        <w:rPr>
          <w:rFonts w:ascii="Arial Narrow" w:hAnsi="Arial Narrow"/>
          <w:sz w:val="28"/>
          <w:szCs w:val="28"/>
        </w:rPr>
        <w:t xml:space="preserve">остаётся</w:t>
      </w:r>
      <w:r>
        <w:rPr>
          <w:rFonts w:ascii="Arial Narrow" w:hAnsi="Arial Narrow"/>
          <w:sz w:val="28"/>
          <w:szCs w:val="28"/>
        </w:rPr>
        <w:t xml:space="preserve"> важной составляющей общественной жизни в России, способствуя здоровью нации и укреплению её позиции в мировом спорте.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Стратегия развития физкультуры и спорта в Российской Федерации</w:t>
      </w:r>
      <w:r>
        <w:rPr>
          <w:rFonts w:ascii="Arial Narrow" w:hAnsi="Arial Narrow"/>
          <w:sz w:val="28"/>
          <w:szCs w:val="28"/>
        </w:rPr>
        <w:t xml:space="preserve"> включает в себя ряд ключевых аспектов, которые ориентированы на улучшение физического и спортивного потенциала нации, поддержку спорта на всех уровнях и достижение выдающихся результатов на международной арене.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Перечень приоритетных направлений этой стратегии: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4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Совершенствование здоровья и благополучия, а также повышение уровня жизни населения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системы подготовки спортивного резерва и спорта высших достижений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кадрового потенциала физической культуры, спорта и спортивной медицины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научного обеспечения физической культуры, спорта и спортивной медицины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системы антидопингового обеспечения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инфраструктуры физической культуры, спорта и спортивной медицины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Совершенствование системы управления отраслью и взаимодействия между субъектами физической культуры и спорта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Цифровая трансформация системы управления отраслью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экономической модели физической культуры и спорта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международного спортивного сотрудничества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4"/>
        </w:numPr>
        <w:contextualSpacing w:val="0"/>
        <w:ind w:left="0" w:firstLine="0"/>
        <w:jc w:val="both"/>
        <w:spacing w:after="200"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Формирование комфортной и безопасной среды в сфере физической культуры и спорта.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Эти аспекты стратегии развития физкультуры и спорта в России совершенствуются и адаптируются в соответствии с изменяющимися потребностями и </w:t>
      </w:r>
      <w:r>
        <w:rPr>
          <w:rFonts w:ascii="Arial Narrow" w:hAnsi="Arial Narrow"/>
          <w:sz w:val="28"/>
          <w:szCs w:val="28"/>
        </w:rPr>
        <w:t xml:space="preserve">задачами, а также с учетом мировых трендов и стандартов в сфере спорта и физической активности. Эффективная стратегия развития спорта способствует укреплению национального здоровья, достижению спортивных успехов и повышению статуса страны на мировой арене.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Концепции деятельность Федерации скалолазания России рассматривается в соответствии с ключевыми аспектами Стратегии развития физкультуры и спорта в Российской Федерации.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39"/>
        <w:gridCol w:w="8714"/>
      </w:tblGrid>
      <w:tr>
        <w:tblPrEx/>
        <w:trPr/>
        <w:tc>
          <w:tcPr>
            <w:tcW w:w="113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8645" cy="532130"/>
                      <wp:effectExtent l="0" t="0" r="0" b="0"/>
                      <wp:docPr id="20" name="Изображение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" name="Изображение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rcRect l="0" t="0" r="52569" b="809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8645" cy="5321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46.35pt;height:41.90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W w:w="871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 w:eastAsia="Calibri" w:cs="Arial"/>
                <w:b/>
                <w:sz w:val="32"/>
                <w:szCs w:val="32"/>
              </w:rPr>
              <w:t xml:space="preserve">Раздел 2.</w:t>
            </w:r>
            <w:r>
              <w:rPr>
                <w:rFonts w:ascii="Arial Narrow" w:hAnsi="Arial Narrow"/>
                <w:b/>
                <w:sz w:val="32"/>
                <w:szCs w:val="32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 w:eastAsia="Calibri" w:cs="Arial"/>
                <w:b/>
                <w:sz w:val="32"/>
                <w:szCs w:val="32"/>
              </w:rPr>
              <w:t xml:space="preserve">Общая информация о Федерации скалолазания России</w:t>
            </w:r>
            <w:r>
              <w:rPr>
                <w:rFonts w:ascii="Arial Narrow" w:hAnsi="Arial Narrow"/>
                <w:b/>
                <w:sz w:val="32"/>
                <w:szCs w:val="32"/>
              </w:rPr>
            </w:r>
          </w:p>
        </w:tc>
      </w:tr>
    </w:tbl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Скалолазание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- это</w:t>
      </w:r>
      <w:r>
        <w:rPr>
          <w:rFonts w:ascii="Arial Narrow" w:hAnsi="Arial Narrow"/>
          <w:sz w:val="28"/>
          <w:szCs w:val="28"/>
        </w:rPr>
        <w:t xml:space="preserve"> уникальный вид спорта и активного отдыха, который обладает рядом весомых преимуществ и ценностей:</w:t>
      </w:r>
      <w:r>
        <w:rPr>
          <w:rFonts w:ascii="Arial Narrow" w:hAnsi="Arial Narrow"/>
          <w:sz w:val="28"/>
          <w:szCs w:val="28"/>
        </w:rPr>
      </w:r>
    </w:p>
    <w:p>
      <w:pPr>
        <w:numPr>
          <w:ilvl w:val="0"/>
          <w:numId w:val="8"/>
        </w:numPr>
        <w:contextualSpacing/>
        <w:ind w:left="0" w:firstLine="0"/>
        <w:jc w:val="both"/>
        <w:spacing w:after="0"/>
      </w:pPr>
      <w:r>
        <w:rPr>
          <w:rFonts w:ascii="Arial Narrow" w:hAnsi="Arial Narrow" w:eastAsia="Times New Roman" w:cs="Times New Roman"/>
          <w:b/>
          <w:sz w:val="28"/>
          <w:szCs w:val="28"/>
          <w:lang w:eastAsia="ru-RU"/>
        </w:rPr>
        <w:t xml:space="preserve">Физическая активность и здоровье: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Скалолазание полностью за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действует опорно-двигательную систему человека, что способствует укреплению мышц, улучшению координации, подвижности и гибкости. Этот вид спорта комплексно развивает физическое здоровье, улучшает выносливость и способствует общему повышению качества жизни.</w:t>
      </w:r>
      <w:r/>
    </w:p>
    <w:p>
      <w:pPr>
        <w:numPr>
          <w:ilvl w:val="0"/>
          <w:numId w:val="8"/>
        </w:numPr>
        <w:contextualSpacing/>
        <w:ind w:left="0" w:firstLine="0"/>
        <w:jc w:val="both"/>
        <w:spacing w:after="0"/>
      </w:pPr>
      <w:r>
        <w:rPr>
          <w:rFonts w:ascii="Arial Narrow" w:hAnsi="Arial Narrow" w:eastAsia="Times New Roman" w:cs="Times New Roman"/>
          <w:b/>
          <w:sz w:val="28"/>
          <w:szCs w:val="28"/>
          <w:lang w:eastAsia="ru-RU"/>
        </w:rPr>
        <w:t xml:space="preserve">Спортивные достижения и соревнования: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Скалолазание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- это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 олимпийский вид спорта, который предоставляет спортсменам возможность участвовать в соревнованиях на международном уровне и достигать выдающихся результатов.</w:t>
      </w:r>
      <w:r/>
    </w:p>
    <w:p>
      <w:pPr>
        <w:numPr>
          <w:ilvl w:val="0"/>
          <w:numId w:val="8"/>
        </w:numPr>
        <w:contextualSpacing/>
        <w:ind w:left="0" w:firstLine="0"/>
        <w:jc w:val="both"/>
        <w:spacing w:after="0"/>
      </w:pPr>
      <w:r>
        <w:rPr>
          <w:rFonts w:ascii="Arial Narrow" w:hAnsi="Arial Narrow" w:eastAsia="Times New Roman" w:cs="Times New Roman"/>
          <w:b/>
          <w:sz w:val="28"/>
          <w:szCs w:val="28"/>
          <w:lang w:eastAsia="ru-RU"/>
        </w:rPr>
        <w:t xml:space="preserve">Развитие навыков и компетенций: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Скалолазание требует от спортсменов развития широ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кого комплекса качеств и навыков: силы и выносливости, координации движений и баланса, тактического и стратегического мышления, уверенности, самообладания и психологического контроля, быстрого принятия правильных решений в предельно сложных ситуациях и др.</w:t>
      </w:r>
      <w:r/>
    </w:p>
    <w:p>
      <w:pPr>
        <w:numPr>
          <w:ilvl w:val="0"/>
          <w:numId w:val="8"/>
        </w:numPr>
        <w:contextualSpacing/>
        <w:ind w:left="0" w:firstLine="0"/>
        <w:jc w:val="both"/>
        <w:spacing w:after="0"/>
      </w:pPr>
      <w:r>
        <w:rPr>
          <w:rFonts w:ascii="Arial Narrow" w:hAnsi="Arial Narrow" w:eastAsia="Times New Roman" w:cs="Times New Roman"/>
          <w:b/>
          <w:sz w:val="28"/>
          <w:szCs w:val="28"/>
          <w:lang w:eastAsia="ru-RU"/>
        </w:rPr>
        <w:t xml:space="preserve">Поддержка ментального здоровья: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Занятия скалолазанием способствуют релаксации и снижению стресса, помогая бороться с психологическими нагрузками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 мгновенным переключением контекста с бытового и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рабочего на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 внутренний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 Скалолазание стимулирует улучшение концентрации, уверенности и психологической устойчивости.</w:t>
      </w:r>
      <w:r/>
    </w:p>
    <w:p>
      <w:pPr>
        <w:numPr>
          <w:ilvl w:val="0"/>
          <w:numId w:val="8"/>
        </w:numPr>
        <w:contextualSpacing/>
        <w:ind w:left="0" w:firstLine="0"/>
        <w:jc w:val="both"/>
        <w:spacing w:after="0"/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b/>
          <w:sz w:val="28"/>
          <w:szCs w:val="28"/>
          <w:lang w:eastAsia="ru-RU"/>
        </w:rPr>
        <w:t xml:space="preserve">Возможность для социализации: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Скалолазание часто практикуется в команде или в группах, что способствует формированию дружественных отношений и обмену опытом. Этот вид спорта создает разноформатные возможности общения с единомышленниками и развития командного духа.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8"/>
        </w:numPr>
        <w:contextualSpacing/>
        <w:ind w:left="0" w:firstLine="0"/>
        <w:jc w:val="both"/>
        <w:spacing w:after="0"/>
      </w:pPr>
      <w:r>
        <w:rPr>
          <w:rFonts w:ascii="Arial Narrow" w:hAnsi="Arial Narrow" w:eastAsia="Times New Roman" w:cs="Times New Roman"/>
          <w:b/>
          <w:sz w:val="28"/>
          <w:szCs w:val="28"/>
          <w:lang w:eastAsia="ru-RU"/>
        </w:rPr>
        <w:t xml:space="preserve">Природный и экологический аспект: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Скалолазание зачастую происходит на природных скальных образованиях, что способствует уважению к природе и ее сохранению. Скалолазы становятся активными сторонниками охраны окружающей среды и естественной красоты.</w:t>
      </w:r>
      <w:r/>
    </w:p>
    <w:p>
      <w:pPr>
        <w:numPr>
          <w:ilvl w:val="0"/>
          <w:numId w:val="8"/>
        </w:numPr>
        <w:contextualSpacing/>
        <w:ind w:left="0" w:firstLine="0"/>
        <w:jc w:val="both"/>
        <w:spacing w:after="0"/>
      </w:pPr>
      <w:r>
        <w:rPr>
          <w:rFonts w:ascii="Arial Narrow" w:hAnsi="Arial Narrow" w:eastAsia="Times New Roman" w:cs="Times New Roman"/>
          <w:b/>
          <w:sz w:val="28"/>
          <w:szCs w:val="28"/>
          <w:lang w:eastAsia="ru-RU"/>
        </w:rPr>
        <w:t xml:space="preserve">Развлечение и приключения</w:t>
      </w:r>
      <w:r>
        <w:rPr>
          <w:rFonts w:ascii="Arial Narrow" w:hAnsi="Arial Narrow" w:eastAsia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Для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 многих людей скалолазание представляет собой увлекательное приключение и возможность испытать себя в необычных условиях. Этот вид активности позволяет открыть для себя новые места и пережить незабываемые моменты.</w:t>
      </w:r>
      <w:r/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Скалолазание является физически, интеллектуально и эмоционально ярким видом спорта и активного отдыха, который способствует здоровому образу жизни.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Федерация скалолазания России (ФСР)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- это</w:t>
      </w:r>
      <w:r>
        <w:rPr>
          <w:rFonts w:ascii="Arial Narrow" w:hAnsi="Arial Narrow"/>
          <w:sz w:val="28"/>
          <w:szCs w:val="28"/>
        </w:rPr>
        <w:t xml:space="preserve"> организация, занимающаяся развитием и координацией скалолазания в Российской Федерации. Ниже представлена краткая информация об организации, ее истории, масштабе деятельности и достижениях.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Федерация скалолазания России </w:t>
      </w:r>
      <w:r>
        <w:rPr>
          <w:rFonts w:ascii="Arial Narrow" w:hAnsi="Arial Narrow"/>
          <w:sz w:val="28"/>
          <w:szCs w:val="28"/>
        </w:rPr>
        <w:t xml:space="preserve">- общероссийская общественная организация, объединяющая скалолазов на всей территории России.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Видение</w:t>
      </w:r>
      <w:r>
        <w:rPr>
          <w:rFonts w:ascii="Arial Narrow" w:hAnsi="Arial Narrow"/>
          <w:sz w:val="28"/>
          <w:szCs w:val="28"/>
        </w:rPr>
        <w:t xml:space="preserve"> Федерации скалолазания России: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ФСР - один из лидеров мирового спортивного движения, задающий стандарты в развитии скалолазания в России и </w:t>
      </w:r>
      <w:r>
        <w:rPr>
          <w:rFonts w:ascii="Arial Narrow" w:hAnsi="Arial Narrow"/>
          <w:sz w:val="28"/>
          <w:szCs w:val="28"/>
        </w:rPr>
        <w:t xml:space="preserve">мире. Наша современная инфраструктура, мероприятия высочайшего качества, достижения на мировой арене, популяризация скалолазания и постоянное совершенствование во всех направлениях деятельности служат самореализации всех участников скалолазного сообщества.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Миссия</w:t>
      </w:r>
      <w:r>
        <w:rPr>
          <w:rFonts w:ascii="Arial Narrow" w:hAnsi="Arial Narrow"/>
          <w:sz w:val="28"/>
          <w:szCs w:val="28"/>
        </w:rPr>
        <w:t xml:space="preserve"> Федерации скалолазания России: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Скалолазание – наша страсть. </w:t>
      </w:r>
      <w:r>
        <w:rPr>
          <w:rFonts w:ascii="Arial Narrow" w:hAnsi="Arial Narrow"/>
          <w:sz w:val="28"/>
          <w:szCs w:val="28"/>
        </w:rPr>
        <w:t xml:space="preserve">Мы профессионалы</w:t>
      </w:r>
      <w:r>
        <w:rPr>
          <w:rFonts w:ascii="Arial Narrow" w:hAnsi="Arial Narrow"/>
          <w:sz w:val="28"/>
          <w:szCs w:val="28"/>
        </w:rPr>
        <w:t xml:space="preserve"> мирового уровня, объединенные любовью к скалолазанию. Стремясь служить п</w:t>
      </w:r>
      <w:r>
        <w:rPr>
          <w:rFonts w:ascii="Arial Narrow" w:hAnsi="Arial Narrow"/>
          <w:sz w:val="28"/>
          <w:szCs w:val="28"/>
        </w:rPr>
        <w:t xml:space="preserve">римером сильной и независимой организации, мы развиваем свои достижения в мировом спорте, делаем скалолазание в России и мире универсальным средством общения, создаем скалолазную культуру, вдохновляющую присоединяться к нам, и вместе достигаем новых высот.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Ценности </w:t>
      </w:r>
      <w:r>
        <w:rPr>
          <w:rFonts w:ascii="Arial Narrow" w:hAnsi="Arial Narrow"/>
          <w:sz w:val="28"/>
          <w:szCs w:val="28"/>
        </w:rPr>
        <w:t xml:space="preserve">Федерации скалолазания России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Открытость. 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Мы ценим открытость и честность как основу своих деловых отношений. ФСР стремится быть прозрачной во взаимодействии с участниками спортивного сообщества, клиентами, партнерами и сотрудниками. Честность и </w:t>
      </w:r>
      <w:r>
        <w:rPr>
          <w:rFonts w:ascii="Arial Narrow" w:hAnsi="Arial Narrow"/>
          <w:sz w:val="28"/>
          <w:szCs w:val="28"/>
        </w:rPr>
        <w:t xml:space="preserve">открытость помогают установить доверие и создать здоровую рабочую среду, где каждый чувствует себя уважаемым и ценным. Мы открыты для новых идей и возможностей, способствующих достижению наших целей, дополняющих их и расширяющих наше видение и перспективы.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</w:r>
      <w:r>
        <w:rPr>
          <w:rFonts w:ascii="Arial Narrow" w:hAnsi="Arial Narrow"/>
          <w:b/>
          <w:color w:val="ff000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Ответственность</w:t>
      </w:r>
      <w:r>
        <w:rPr>
          <w:rFonts w:ascii="Arial Narrow" w:hAnsi="Arial Narrow"/>
          <w:sz w:val="28"/>
          <w:szCs w:val="28"/>
        </w:rPr>
        <w:t xml:space="preserve">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ФСР стремится к тому, чтобы участники спортивного сообщества, наши клиенты и партнеры могли положиться на нее и были уверены в исполнении дого</w:t>
      </w:r>
      <w:r>
        <w:rPr>
          <w:rFonts w:ascii="Arial Narrow" w:hAnsi="Arial Narrow"/>
          <w:sz w:val="28"/>
          <w:szCs w:val="28"/>
        </w:rPr>
        <w:t xml:space="preserve">воренностей. Ответственность за результат, стремление к высокому качеству и эффективности работы — свидетельство настоящего профессионализма каждого сотрудника. Мы дорожим доверием друг к другу и оправдываем его, своевременно выполняя взятые обязательства </w:t>
      </w:r>
      <w:r>
        <w:rPr>
          <w:rFonts w:ascii="Arial Narrow" w:hAnsi="Arial Narrow"/>
          <w:sz w:val="28"/>
          <w:szCs w:val="28"/>
        </w:rPr>
        <w:t xml:space="preserve">и отвечая за свои решения и действия. Мы поддерживаем баланс доверия, ответственности и контроля, осознавая свое влияние на сотрудников, спортивное сообщество и окружающую среду.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</w:r>
      <w:r>
        <w:rPr>
          <w:rFonts w:ascii="Arial Narrow" w:hAnsi="Arial Narrow"/>
          <w:b/>
          <w:color w:val="ff000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Целеустремленность</w:t>
      </w:r>
      <w:r>
        <w:rPr>
          <w:rFonts w:ascii="Arial Narrow" w:hAnsi="Arial Narrow"/>
          <w:sz w:val="28"/>
          <w:szCs w:val="28"/>
        </w:rPr>
        <w:t xml:space="preserve">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Только ставя цели и достигая их, мы можем жить и развиваться. ФСР ставит перед собой ясные цели и стремится достичь их, сочетая упорство и настойчивость с адаптивностью и новаторств</w:t>
      </w:r>
      <w:r>
        <w:rPr>
          <w:rFonts w:ascii="Arial Narrow" w:hAnsi="Arial Narrow"/>
          <w:sz w:val="28"/>
          <w:szCs w:val="28"/>
        </w:rPr>
        <w:t xml:space="preserve">ом в динамичном мире. Как профессионалы, мы постоянно повышаем свой уровень знаний, навыков и опыта, учимся новому и совершенствуемся. ФСР поощряет и поддерживает своих сотрудников в их стремлении достигать масштабных целей и реализовывать свой потенциал.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Увлеченность</w:t>
      </w:r>
      <w:r>
        <w:rPr>
          <w:rFonts w:ascii="Arial Narrow" w:hAnsi="Arial Narrow"/>
          <w:sz w:val="28"/>
          <w:szCs w:val="28"/>
        </w:rPr>
        <w:t xml:space="preserve">. ФСР ценит увлеченность и страсть к нашему делу. Мы дорожим сотрудниками, которые проявляют инициативу, продвигают собственные идеи и нацелены на общий результат. Поддерживая динамичную и вдохновляющую рабочую атмосфе</w:t>
      </w:r>
      <w:r>
        <w:rPr>
          <w:rFonts w:ascii="Arial Narrow" w:hAnsi="Arial Narrow"/>
          <w:sz w:val="28"/>
          <w:szCs w:val="28"/>
        </w:rPr>
        <w:t xml:space="preserve">ру, мы создаем сильную команду, в которой каждый может проявить свой потенциал и достичь профессиональных успехов. Мы совершенствуем безопасную и прозрачную среду командного взаимодействия как основу для вовлеченности и совместного достижения общих целей.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Целями Федерации</w:t>
      </w:r>
      <w:r>
        <w:rPr>
          <w:rFonts w:ascii="Arial Narrow" w:hAnsi="Arial Narrow"/>
          <w:sz w:val="28"/>
          <w:szCs w:val="28"/>
        </w:rPr>
        <w:t xml:space="preserve"> являются всестороннее развитие и популяризация скалолазания в России и на международном </w:t>
      </w:r>
      <w:r>
        <w:rPr>
          <w:rFonts w:ascii="Arial Narrow" w:hAnsi="Arial Narrow"/>
          <w:sz w:val="28"/>
          <w:szCs w:val="28"/>
        </w:rPr>
        <w:t xml:space="preserve">уровне, повышение спортивных результатов на мировой арене, обеспечение возможностей влияния на решения в сфере мирового спорта, укрепление роли скалолазания в гармоничном развитии личности, формирование здорового образа жизни, укрепление здоровья граждан.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ФСР</w:t>
      </w:r>
      <w:r>
        <w:rPr>
          <w:rFonts w:ascii="Arial Narrow" w:hAnsi="Arial Narrow"/>
          <w:sz w:val="28"/>
          <w:szCs w:val="28"/>
        </w:rPr>
        <w:t xml:space="preserve"> официально представляет росс</w:t>
      </w:r>
      <w:r>
        <w:rPr>
          <w:rFonts w:ascii="Arial Narrow" w:hAnsi="Arial Narrow"/>
          <w:sz w:val="28"/>
          <w:szCs w:val="28"/>
        </w:rPr>
        <w:t xml:space="preserve">ийское скалолазание во всех государственных и общественных организациях в стране, в международном спортивном и олимпийском движениях. ФСР является одной из ведущих национальных федераций, входящих в состав Международной федерации спортивного скалолазания.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Российские спортсмены</w:t>
      </w:r>
      <w:r>
        <w:rPr>
          <w:rFonts w:ascii="Arial Narrow" w:hAnsi="Arial Narrow"/>
          <w:sz w:val="28"/>
          <w:szCs w:val="28"/>
        </w:rPr>
        <w:t xml:space="preserve"> входят в элиту мирового скалолазания - регулярно становятся победителями и призёрами международных соревнований, рекордсменами мира.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Ежегодно ФСР проводит более 20 соревнований по скалолазанию всероссийского уровня и несколько международных стартов - этапы Кубка мира, первенства мира, чемпионаты и первенства Европы и др.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История</w:t>
      </w:r>
      <w:r>
        <w:rPr>
          <w:rFonts w:ascii="Arial Narrow" w:hAnsi="Arial Narrow"/>
          <w:sz w:val="28"/>
          <w:szCs w:val="28"/>
        </w:rPr>
        <w:t xml:space="preserve">. Федерация скалолазания России была официально учреждена в 1992 году и за 30 лет работы стала признанным органом по управлению скалолазанием в стране. Она </w:t>
      </w:r>
      <w:r>
        <w:rPr>
          <w:rFonts w:ascii="Arial Narrow" w:hAnsi="Arial Narrow"/>
          <w:sz w:val="28"/>
          <w:szCs w:val="28"/>
        </w:rPr>
        <w:t xml:space="preserve">является наследницей скалолазного движения, которое началось в Советском Союзе ещё в 1960-70-х годах. С течением времени ФСР активно развивала этот вид спорта и достигла позиции одной из ведущих организаций в мире по скалолазанию.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 августа 2016 года скалолазание было включено МОК в олимпийскую программу летней олимпиады 2020, и россияне завоевали три из четырех возможных лицензий участника XXXII летних Олимпийских игр.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На Олимпиаде 2024 в Париже и на Олимпиаде 2028 в Лос-Анджелесе увеличено число разыгрываемых в скалолазании комплектов медалей.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Масштаб деятельности: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Организация и проведение национальных и международных соревнований по скалолазанию в России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Организация и ведение подготовки сборных команд России по скалолазанию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Вовлечение молодежи и подготовка спортивного резерва для сборных команд по скалолазанию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Организация и проведение спортивно-массовых мероприятий, направленных на поддержку и популяризацию скалолазания и спортивной культуры, повышения их массовости и зрелищности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Организация и проведение мероприятий, направленных на обмен опытом, получение обратной связи и генерацию идей всеми участниками российского скалолазного сообщества (форумы, круглые столы, семинары и т. п.)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Участие в развитии скалолазной инфраструктуры, включая строительство центров скалолазания и скалодромов, обеспечение сопутствующим оборудованием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Развитие скалолазания в природных скальных районах нашей страны, создание качественных и безопасных скальных маршрутов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Продвижение скалолазания в программы государственных образовательных учреждений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Участие в работе международной федерации скалолазания, сотрудничество с национальными федерациями в развитии скалолазания, проведении совместных мероприятий и пр.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Разработка и внедрение стандартов безопасности и тренировочных программ для скалолазов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Ведение научно-исследовательской и методологической деятельности, совершенствование нормативно-правовой базы, обеспечивающей стабильное развитие скалолазания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Участие в подготовке и повышении квалификации кадров, необходимых для развития скалолазания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Достижения</w:t>
      </w:r>
      <w:r>
        <w:rPr>
          <w:rFonts w:ascii="Arial Narrow" w:hAnsi="Arial Narrow"/>
          <w:sz w:val="28"/>
          <w:szCs w:val="28"/>
        </w:rPr>
        <w:t xml:space="preserve">: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Российские скалолазы достигают выдающихся результатов на мировых соревнованиях, включая чемпионаты мира и Европы, а также на Олимпийских играх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ФСР активно сотрудничает с международной федерацией скалолазания, национальными федерациями и способствует развитию этого вида спорта в мире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На национальном и региональном уровнях ФСР взаимодействует</w:t>
      </w:r>
      <w:r>
        <w:rPr>
          <w:rFonts w:ascii="Arial Narrow" w:hAnsi="Arial Narrow"/>
          <w:sz w:val="28"/>
          <w:szCs w:val="28"/>
        </w:rPr>
        <w:t xml:space="preserve"> с государственными и общественными спортивными структурами, администрациями регионов, региональными федерациями — членами ФСР, скалодромами, СМИ и прочими организациями, в сотрудничестве с которыми есть возможности развивать скалолазание в России и мире.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ФСР активно способствует развитию спортивной инфраструктуры. Ежегодно в России строятся десятки скалодромов вплоть до высшего мирового уровня.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rFonts w:ascii="Arial Narrow" w:hAnsi="Arial Narrow"/>
          <w:sz w:val="28"/>
          <w:szCs w:val="28"/>
        </w:rPr>
        <w:t xml:space="preserve"> В России растет популярность и массовость скалолазания, как вида активного отдыха и фитнеса, что содействует реализации государственной социально</w:t>
      </w:r>
      <w:r>
        <w:rPr>
          <w:rFonts w:ascii="Arial Narrow" w:hAnsi="Arial Narrow"/>
          <w:sz w:val="28"/>
          <w:szCs w:val="28"/>
        </w:rPr>
        <w:t xml:space="preserve">й политики. ФСР способствует этому росту, проводя спортивно-массовые мероприятия, привлекающие участников со всей страны, а также продвигая скалолазание средствами массовых коммуникаций и через взаимодействие с государственными и общественными структурами.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426" w:leader="none"/>
        </w:tabs>
      </w:pPr>
      <w:r/>
      <w:r/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28"/>
        <w:gridCol w:w="8725"/>
      </w:tblGrid>
      <w:tr>
        <w:tblPrEx/>
        <w:trPr/>
        <w:tc>
          <w:tcPr>
            <w:tcW w:w="11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9755" cy="556260"/>
                      <wp:effectExtent l="0" t="0" r="0" b="0"/>
                      <wp:docPr id="21" name="Изображение5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Изображение5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9755" cy="556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width:45.65pt;height:43.8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872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При</w:t>
            </w: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 ответе на вопрос «Как вы оцениваете организацию и развитие скалолазания в РФ в целом, включая направление спорта высших достижений и массовый спорт, по сравнению с другими «лидирующими» видами спорта?» респонденты оценили уровень развития скалолазания на </w:t>
            </w:r>
            <w:r>
              <w:rPr>
                <w:rFonts w:ascii="Arial Narrow" w:hAnsi="Arial Narrow" w:eastAsia="Calibri" w:cs="Arial"/>
                <w:b/>
                <w:i/>
                <w:sz w:val="28"/>
                <w:szCs w:val="28"/>
              </w:rPr>
              <w:t xml:space="preserve">6,0 баллов</w:t>
            </w: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 по </w:t>
            </w: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10-</w:t>
            </w:r>
            <w:r>
              <w:rPr>
                <w:rFonts w:ascii="Arial" w:hAnsi="Arial" w:eastAsia="Calibri" w:cs="Arial"/>
                <w:i/>
                <w:sz w:val="28"/>
                <w:szCs w:val="28"/>
              </w:rPr>
              <w:t xml:space="preserve">балльной</w:t>
            </w: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 шкале.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rPr>
          <w:rFonts w:ascii="Arial Narrow" w:hAnsi="Arial Narrow"/>
          <w:i/>
          <w:color w:val="ff0000"/>
          <w:sz w:val="28"/>
          <w:szCs w:val="28"/>
        </w:rPr>
      </w:pPr>
      <w:r>
        <w:rPr>
          <w:rFonts w:ascii="Arial Narrow" w:hAnsi="Arial Narrow"/>
          <w:i/>
          <w:color w:val="ff0000"/>
          <w:sz w:val="28"/>
          <w:szCs w:val="28"/>
        </w:rPr>
      </w:r>
      <w:r>
        <w:rPr>
          <w:rFonts w:ascii="Arial Narrow" w:hAnsi="Arial Narrow"/>
          <w:i/>
          <w:color w:val="ff0000"/>
          <w:sz w:val="28"/>
          <w:szCs w:val="28"/>
        </w:rPr>
      </w:r>
    </w:p>
    <w:p>
      <w:pPr>
        <w:jc w:val="center"/>
        <w:rPr>
          <w:rFonts w:ascii="Arial Narrow" w:hAnsi="Arial Narrow"/>
          <w:i/>
          <w:color w:val="ff0000"/>
          <w:sz w:val="28"/>
          <w:szCs w:val="28"/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38165" cy="1068705"/>
                <wp:effectExtent l="0" t="0" r="0" b="0"/>
                <wp:docPr id="22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Рисунок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638165" cy="1068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43.95pt;height:84.1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rFonts w:ascii="Arial Narrow" w:hAnsi="Arial Narrow"/>
          <w:i/>
          <w:color w:val="ff0000"/>
          <w:sz w:val="28"/>
          <w:szCs w:val="28"/>
          <w:lang w:val="en-US"/>
        </w:rPr>
      </w:r>
    </w:p>
    <w:p>
      <w:pPr>
        <w:jc w:val="both"/>
        <w:rPr>
          <w:rFonts w:ascii="Arial Narrow" w:hAnsi="Arial Narrow"/>
          <w:sz w:val="28"/>
          <w:szCs w:val="28"/>
          <w:lang w:val="en-US"/>
        </w:rPr>
      </w:pPr>
      <w:r>
        <w:rPr>
          <w:rFonts w:ascii="Arial Narrow" w:hAnsi="Arial Narrow"/>
          <w:sz w:val="28"/>
          <w:szCs w:val="28"/>
          <w:lang w:val="en-US"/>
        </w:rPr>
      </w:r>
      <w:r>
        <w:rPr>
          <w:rFonts w:ascii="Arial Narrow" w:hAnsi="Arial Narrow"/>
          <w:sz w:val="28"/>
          <w:szCs w:val="28"/>
          <w:lang w:val="en-US"/>
        </w:rPr>
      </w:r>
    </w:p>
    <w:p>
      <w:pPr>
        <w:jc w:val="both"/>
        <w:rPr>
          <w:rFonts w:ascii="Arial Narrow" w:hAnsi="Arial Narrow"/>
          <w:i/>
          <w:color w:val="ff0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Федерация скалолазания России играет важную роль в развитии скалолазания как спорта и активного отдыха в стране. Её активная деятельность по всем направлениям развития </w:t>
      </w:r>
      <w:r>
        <w:rPr>
          <w:rFonts w:ascii="Arial Narrow" w:hAnsi="Arial Narrow"/>
          <w:sz w:val="28"/>
          <w:szCs w:val="28"/>
        </w:rPr>
        <w:t xml:space="preserve">скалолазания делают ФСР одним из ключевых игроков в мировом скалолазном сообществе.</w:t>
      </w:r>
      <w:r>
        <w:rPr>
          <w:rFonts w:ascii="Arial Narrow" w:hAnsi="Arial Narrow"/>
          <w:i/>
          <w:color w:val="ff0000"/>
          <w:sz w:val="28"/>
          <w:szCs w:val="28"/>
        </w:rPr>
      </w:r>
    </w:p>
    <w:p>
      <w:r/>
      <w:r/>
    </w:p>
    <w:p>
      <w:r/>
      <w:r/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16"/>
        <w:gridCol w:w="8737"/>
      </w:tblGrid>
      <w:tr>
        <w:tblPrEx/>
        <w:trPr/>
        <w:tc>
          <w:tcPr>
            <w:tcW w:w="111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0230" cy="570230"/>
                      <wp:effectExtent l="0" t="0" r="0" b="0"/>
                      <wp:docPr id="23" name="Рисунок 18" descr="https://cdn0.iconfinder.com/data/icons/life-skill-solid-self-improvement/512/problem_solving-102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Рисунок 18" descr="https://cdn0.iconfinder.com/data/icons/life-skill-solid-self-improvement/512/problem_solving-102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0230" cy="5702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width:44.90pt;height:44.9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W w:w="87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Noto Sans CJK SC" w:cs="Noto Sans CJK SC"/>
                <w:b/>
                <w:sz w:val="32"/>
                <w:szCs w:val="32"/>
              </w:rPr>
              <w:t xml:space="preserve">Раздел 3. Актуальное состояние и проблемы развития скалолазания в России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Актуальное состояние скалолазания в России может быть представлено следующими данными: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28"/>
        <w:gridCol w:w="8725"/>
      </w:tblGrid>
      <w:tr>
        <w:tblPrEx/>
        <w:trPr/>
        <w:tc>
          <w:tcPr>
            <w:tcW w:w="112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9755" cy="556260"/>
                      <wp:effectExtent l="0" t="0" r="0" b="0"/>
                      <wp:docPr id="24" name="Изображение6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" name="Изображение6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9755" cy="556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width:45.65pt;height:43.8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872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В данном разделе используются сводные данные, полученные от ФСР и представителей региональных федераций</w:t>
            </w:r>
            <w:r>
              <w:rPr>
                <w:rFonts w:ascii="Arial Narrow" w:hAnsi="Arial Narrow"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eastAsia="Calibri"/>
                <w:shd w:val="clear" w:color="auto" w:fill="ffff00"/>
              </w:rPr>
            </w:pPr>
            <w:r>
              <w:rPr>
                <w:rFonts w:eastAsia="Calibri"/>
                <w:shd w:val="clear" w:color="auto" w:fill="ffff00"/>
              </w:rPr>
            </w:r>
            <w:r>
              <w:rPr>
                <w:rFonts w:eastAsia="Calibri"/>
                <w:shd w:val="clear" w:color="auto" w:fill="ffff00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980"/>
        <w:gridCol w:w="7873"/>
      </w:tblGrid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Региональные федерации</w:t>
            </w:r>
            <w:r>
              <w:rPr>
                <w:rFonts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В 65 из 89 регионов РФ представлены региональные организации скалолазания — члены ФСР. Территориальный охват = 73%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Общее число членов ФСР — 68 региональных федераций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аккредитованных региональных федераций (из общего числа членов ФСР) на 20.11.2024 = 51, что составляет 75% от общего числа членов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регионов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, в которых скалолазание базовый вид спорта, имеющий государственную поддержку (по состоянию на 08.10.2024 г.) = 6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(Воронежская обл., Республика Башкортостан,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Свердловская обл., Тюменская обл., Челябинская обл., Красноярский край)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Активность, по участию в Конференции ФСР = 38 регионов участвовали очно в 2022 г.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Активность, по взаимодействию с ФСР за 6 мес.2023 г = более 50 регионов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регионов, стабильно проводящих всероссийские соревнования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9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(Москва,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Санкт-Петербург,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Калининградская область, Воронежская область,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Пермский край, Свердловская область, Тюменская область, Красноярский край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, Республика Крым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регионов, представленных в основных сборных командах = 17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регионов, представленных в юношеских сборных командах = 22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</w:r>
            <w:r>
              <w:rPr>
                <w:shd w:val="clear" w:color="auto" w:fill="ffff00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color w:val="000000"/>
                <w:sz w:val="28"/>
                <w:szCs w:val="28"/>
              </w:rPr>
              <w:t xml:space="preserve">Пропаганда и популяризация скалолазания</w:t>
            </w:r>
            <w:r>
              <w:rPr>
                <w:rFonts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Кол-во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продуктов ФСР = 1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0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, это: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Соревнования взрослые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Соревнования детско-юношеские или молодежные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Фестивали скальные на природных объектах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Фестивали в спортивных залах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Трансляции на ТВ и сети интернет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Обучение кадров и курсы повышения квалификации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Программа лояльности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Сувенирная, фирменная и иная продукция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Видео программа «The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Лазать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» на Ютубе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spacing w:after="200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Управление скалодромами 2 шт. (г. Москва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Центр скалолазания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ЦСКА и г. Воронеж «Энергия»)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Кол-во мероприятий с продажей билетов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(продавались билеты на международные со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евнования до 2022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г,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2024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начались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 мероприятия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с билетной программой в том числе и на всероссийские)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Кол-во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проданных билетов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= 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400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двоеборье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), 150 (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лазание на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скорость)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Кол-во клиентов программы лояльности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128 чел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Кол-во участников фестивалей = 2 000 чел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Кол-во спонсоров = 5 компаний: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РЖД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Баркли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Ред Фокс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spacing w:after="200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Топ Поинт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Охват просмотров трансляций, медиа (28 трансляций) = 9 645 748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Число упоминаний в СМИ, число публикаций в СМИ = 400: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Сюжеты на федеральном ТВ = 33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Сюжеты на региональном ТВ = 45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Публикации в федеральных СМИ = 82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"/>
              </w:numPr>
              <w:contextualSpacing w:val="0"/>
              <w:jc w:val="both"/>
              <w:spacing w:after="200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Публикации в региональных СМИ = 240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ТВ-трансляций мероприятий ФСР, в год = 0 (на 2024 год планируется 7 мероприятий)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онлайн-трансляций мероприятий ФСР, в год = 28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Кол-во событий (взрослых стартов) = 14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Посещаемость арены/стадиона = 28 000 чел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зрителей, прошедших мимо на событии, но визуально охвативших бренд = 2 884 чел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онлайн-мероприятий (теоретические: лекции, семинары, круглые столы и др.; практические: тренировочные сессии, консультации тренеров и специалистов и др.) = 4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Объем продаж сувенирной, фирменной и иной продукции     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= 1 000 000 рублей в 2023 году.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</w:pPr>
            <w:r/>
            <w:r/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color w:val="000000"/>
                <w:sz w:val="28"/>
                <w:szCs w:val="28"/>
              </w:rPr>
              <w:t xml:space="preserve">Массовый спорт</w:t>
            </w:r>
            <w:r>
              <w:rPr>
                <w:rFonts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pStyle w:val="1247"/>
              <w:ind w:left="32"/>
              <w:jc w:val="both"/>
              <w:widowControl w:val="off"/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чел, занимающихся скалолазанием = 59 290 человек (по статистике Минспорта России за 2021 г.)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2"/>
              <w:jc w:val="both"/>
              <w:widowControl w:val="off"/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спортивно-массовых мероприятий ФСР по скалолазанию за 2023 год = 12, в среднем за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2021–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2023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гг.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по 11 мероприятий в год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спортивно-массовых мероприятий региональных федераций/скалодромов по скалолазанию = 240 в год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фестивалей и соревнований, проводимых регионами на скалах = 40 в год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2"/>
              <w:jc w:val="both"/>
              <w:widowControl w:val="off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</w:r>
            <w:r>
              <w:rPr>
                <w:shd w:val="clear" w:color="auto" w:fill="ffff00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eastAsia="Calibri" w:cs="Arial"/>
              </w:rPr>
            </w:pPr>
            <w:r>
              <w:rPr>
                <w:rFonts w:ascii="Arial Narrow" w:hAnsi="Arial Narrow" w:eastAsia="Calibri" w:cs="Arial"/>
                <w:color w:val="000000"/>
                <w:sz w:val="28"/>
                <w:szCs w:val="28"/>
              </w:rPr>
              <w:t xml:space="preserve">Детско-юношеский спорт</w:t>
            </w:r>
            <w:r>
              <w:rPr>
                <w:rFonts w:eastAsia="Calibri"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pStyle w:val="1247"/>
              <w:numPr>
                <w:ilvl w:val="0"/>
                <w:numId w:val="10"/>
              </w:numPr>
              <w:ind w:left="34" w:firstLine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школьников, занимающихся скалолазанием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Уточняется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firstLine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студентов, занимающихся скалолазанием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Уточняется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0" w:firstLine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скалодромов в школах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Уточняется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0" w:firstLine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скалодромов в ВУЗах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Уточняется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0" w:firstLine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всероссийских студенческих соревнований = </w:t>
            </w:r>
            <w:r>
              <w:rPr>
                <w:rFonts w:ascii="Arial Narrow" w:hAnsi="Arial Narrow"/>
                <w:sz w:val="28"/>
                <w:szCs w:val="28"/>
              </w:rPr>
              <w:t xml:space="preserve">1 в год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0" w:firstLine="0"/>
              <w:jc w:val="both"/>
              <w:spacing w:after="200"/>
              <w:widowControl w:val="off"/>
              <w:tabs>
                <w:tab w:val="left" w:pos="459" w:leader="none"/>
              </w:tabs>
              <w:rPr>
                <w:shd w:val="clear" w:color="auto" w:fill="ffff00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Количество мероприятий для школьников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Уточняется</w:t>
            </w:r>
            <w:r>
              <w:rPr>
                <w:shd w:val="clear" w:color="auto" w:fill="ffff00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</w:r>
            <w:r>
              <w:rPr>
                <w:shd w:val="clear" w:color="auto" w:fill="ffff00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Спорт высших достижений</w:t>
            </w:r>
            <w:r>
              <w:rPr>
                <w:rFonts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contextualSpacing/>
              <w:ind w:left="0" w:firstLine="0"/>
              <w:jc w:val="both"/>
              <w:spacing w:after="0" w:line="240" w:lineRule="auto"/>
              <w:widowControl w:val="off"/>
              <w:tabs>
                <w:tab w:val="left" w:pos="0" w:leader="none"/>
                <w:tab w:val="left" w:pos="459" w:leader="none"/>
              </w:tabs>
            </w:pPr>
            <w:r>
              <w:rPr>
                <w:rFonts w:ascii="Arial Narrow" w:hAnsi="Arial Narrow" w:eastAsia="Times New Roman" w:cs="Times New Roman"/>
                <w:color w:val="000000"/>
                <w:sz w:val="28"/>
                <w:szCs w:val="20"/>
                <w:lang w:eastAsia="ru-RU"/>
              </w:rPr>
              <w:t xml:space="preserve">Количество действующих МС, МСМК, ЗМС (статистика Минспорта России за 2022 г.):</w:t>
            </w:r>
            <w:r/>
          </w:p>
          <w:p>
            <w:pPr>
              <w:pStyle w:val="1247"/>
              <w:numPr>
                <w:ilvl w:val="0"/>
                <w:numId w:val="11"/>
              </w:numPr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0"/>
              </w:rPr>
              <w:t xml:space="preserve">МС = </w:t>
            </w:r>
            <w:r>
              <w:rPr>
                <w:rFonts w:ascii="Arial Narrow" w:hAnsi="Arial Narrow"/>
                <w:sz w:val="28"/>
                <w:szCs w:val="20"/>
              </w:rPr>
              <w:t xml:space="preserve">86 чел</w:t>
            </w:r>
            <w:r/>
          </w:p>
          <w:p>
            <w:pPr>
              <w:pStyle w:val="1247"/>
              <w:numPr>
                <w:ilvl w:val="0"/>
                <w:numId w:val="11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sz w:val="28"/>
                <w:szCs w:val="20"/>
              </w:rPr>
              <w:t xml:space="preserve">МСМК = 11 чел</w:t>
            </w:r>
            <w:r/>
          </w:p>
          <w:p>
            <w:pPr>
              <w:pStyle w:val="1247"/>
              <w:numPr>
                <w:ilvl w:val="0"/>
                <w:numId w:val="11"/>
              </w:numPr>
              <w:contextualSpacing w:val="0"/>
              <w:jc w:val="both"/>
              <w:spacing w:after="200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sz w:val="28"/>
                <w:szCs w:val="20"/>
              </w:rPr>
              <w:t xml:space="preserve">ЗМС = 4 чел</w:t>
            </w:r>
            <w:r/>
          </w:p>
          <w:p>
            <w:pPr>
              <w:pStyle w:val="1247"/>
              <w:numPr>
                <w:ilvl w:val="0"/>
                <w:numId w:val="10"/>
              </w:numPr>
              <w:ind w:left="0" w:firstLine="0"/>
              <w:jc w:val="both"/>
              <w:widowControl w:val="off"/>
              <w:tabs>
                <w:tab w:val="left" w:pos="0" w:leader="none"/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0"/>
              </w:rPr>
              <w:t xml:space="preserve">Кол-во медалей ЧМ/ЧЕ/КМ/КЕ (золото/серебро/бронза), либо лучшие места по дисциплинам:</w:t>
            </w:r>
            <w:r/>
          </w:p>
          <w:p>
            <w:pPr>
              <w:pStyle w:val="1247"/>
              <w:ind w:left="0"/>
              <w:jc w:val="both"/>
              <w:widowControl w:val="off"/>
              <w:tabs>
                <w:tab w:val="left" w:pos="0" w:leader="none"/>
                <w:tab w:val="left" w:pos="459" w:leader="none"/>
              </w:tabs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31080" cy="1783715"/>
                      <wp:effectExtent l="0" t="0" r="0" b="0"/>
                      <wp:docPr id="25" name="Изображение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" name="Изображение7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31080" cy="17837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width:380.40pt;height:140.45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/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</w:t>
            </w:r>
            <w:r>
              <w:rPr>
                <w:sz w:val="28"/>
                <w:szCs w:val="28"/>
              </w:rPr>
              <w:tab/>
            </w:r>
            <w:r>
              <w:rPr>
                <w:rFonts w:ascii="Arial Narrow" w:hAnsi="Arial Narrow"/>
                <w:sz w:val="28"/>
                <w:szCs w:val="28"/>
              </w:rPr>
              <w:t xml:space="preserve">Количество участников всероссийских взрослых соревнований в каждом виде,</w:t>
            </w:r>
            <w: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за год: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2023г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2"/>
              </w:numPr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Лазание на трудность = 154/ чел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2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Лазание на скорость = 120 чел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2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Боулдеринг = 150 чел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2"/>
              </w:numPr>
              <w:contextualSpacing w:val="0"/>
              <w:ind w:left="34"/>
              <w:jc w:val="both"/>
              <w:spacing w:after="200"/>
              <w:widowControl w:val="off"/>
              <w:tabs>
                <w:tab w:val="left" w:pos="459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Двоеборье = 125 чел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2"/>
              </w:numPr>
              <w:contextualSpacing w:val="0"/>
              <w:ind w:left="34"/>
              <w:jc w:val="both"/>
              <w:spacing w:after="200"/>
              <w:widowControl w:val="off"/>
              <w:tabs>
                <w:tab w:val="left" w:pos="459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•</w:t>
            </w:r>
            <w:r>
              <w:rPr>
                <w:rFonts w:ascii="Arial Narrow" w:hAnsi="Arial Narrow"/>
                <w:sz w:val="28"/>
                <w:szCs w:val="28"/>
              </w:rPr>
              <w:tab/>
              <w:t xml:space="preserve">Среднее количество регионов, представленных на всероссийских соревнованиях = 20</w:t>
            </w:r>
            <w: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в год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</w:r>
            <w:r>
              <w:rPr>
                <w:shd w:val="clear" w:color="auto" w:fill="ffff00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Подготовка спортивного резерва</w:t>
            </w:r>
            <w:r>
              <w:rPr>
                <w:rFonts w:cs="Arial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ind w:left="57" w:firstLine="0"/>
              <w:jc w:val="both"/>
              <w:spacing w:after="0" w:line="240" w:lineRule="auto"/>
              <w:widowControl w:val="off"/>
              <w:tabs>
                <w:tab w:val="left" w:pos="0" w:leader="none"/>
                <w:tab w:val="left" w:pos="459" w:leader="none"/>
              </w:tabs>
              <w:rPr>
                <w:rFonts w:ascii="Arial Narrow" w:hAnsi="Arial Narrow"/>
              </w:rPr>
            </w:pPr>
            <w:r>
              <w:rPr>
                <w:rFonts w:ascii="Arial Narrow" w:hAnsi="Arial Narrow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отделений в СШ/СШОР по скалолазанию (статистика Минспорта России за 2022 г.) = 80 ед.</w:t>
            </w:r>
            <w:r>
              <w:rPr>
                <w:rFonts w:ascii="Arial Narrow" w:hAnsi="Arial Narrow"/>
              </w:rPr>
            </w:r>
          </w:p>
          <w:p>
            <w:pPr>
              <w:pStyle w:val="1247"/>
              <w:numPr>
                <w:ilvl w:val="0"/>
                <w:numId w:val="10"/>
              </w:numPr>
              <w:ind w:left="0" w:firstLine="0"/>
              <w:jc w:val="both"/>
              <w:widowControl w:val="off"/>
              <w:tabs>
                <w:tab w:val="left" w:pos="0" w:leader="none"/>
                <w:tab w:val="left" w:pos="459" w:leader="none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спортсменов, занимающихся скалолазанием на этапах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спортивной подготовки (статистика Минспорта России за 2022 г.) = 6 101 человек</w:t>
            </w:r>
            <w:r>
              <w:rPr>
                <w:rFonts w:ascii="Arial Narrow" w:hAnsi="Arial Narrow"/>
              </w:rPr>
            </w:r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0" w:firstLine="0"/>
              <w:jc w:val="both"/>
              <w:spacing w:after="200"/>
              <w:widowControl w:val="off"/>
              <w:tabs>
                <w:tab w:val="left" w:pos="0" w:leader="none"/>
                <w:tab w:val="left" w:pos="459" w:leader="none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спортсменов с 1 разрядом и КМС (статистика Минспорта России за 2022 г.):</w:t>
            </w:r>
            <w:r>
              <w:rPr>
                <w:rFonts w:ascii="Arial Narrow" w:hAnsi="Arial Narrow"/>
              </w:rPr>
            </w:r>
          </w:p>
          <w:p>
            <w:pPr>
              <w:pStyle w:val="1247"/>
              <w:numPr>
                <w:ilvl w:val="0"/>
                <w:numId w:val="13"/>
              </w:numPr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1 разряд = 532</w:t>
            </w:r>
            <w:r>
              <w:rPr>
                <w:rFonts w:ascii="Arial Narrow" w:hAnsi="Arial Narrow"/>
              </w:rPr>
            </w:r>
          </w:p>
          <w:p>
            <w:pPr>
              <w:pStyle w:val="1247"/>
              <w:numPr>
                <w:ilvl w:val="0"/>
                <w:numId w:val="13"/>
              </w:numPr>
              <w:contextualSpacing w:val="0"/>
              <w:jc w:val="both"/>
              <w:spacing w:after="200"/>
              <w:widowControl w:val="off"/>
              <w:tabs>
                <w:tab w:val="left" w:pos="459" w:leader="none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КМС = 205</w:t>
            </w:r>
            <w:r>
              <w:rPr>
                <w:rFonts w:ascii="Arial Narrow" w:hAnsi="Arial Narrow"/>
              </w:rPr>
            </w:r>
          </w:p>
          <w:p>
            <w:pPr>
              <w:pStyle w:val="1247"/>
              <w:numPr>
                <w:ilvl w:val="0"/>
                <w:numId w:val="10"/>
              </w:numPr>
              <w:ind w:left="0" w:firstLine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</w:rPr>
            </w:pPr>
            <w:r>
              <w:rPr>
                <w:rFonts w:ascii="Arial Narrow" w:hAnsi="Arial Narrow" w:eastAsiaTheme="minorHAnsi" w:cstheme="minorBidi"/>
                <w:color w:val="000000"/>
                <w:sz w:val="28"/>
                <w:szCs w:val="28"/>
              </w:rPr>
              <w:t xml:space="preserve">Кол-во медалей ПМ/ПЕ/МКЕ (золото/серебро/бронза), либо лучшие места по дисциплинам</w:t>
            </w:r>
            <w:r>
              <w:rPr>
                <w:rFonts w:ascii="Arial Narrow" w:hAnsi="Arial Narrow"/>
              </w:rPr>
            </w:r>
          </w:p>
          <w:p>
            <w:pPr>
              <w:pStyle w:val="1247"/>
              <w:ind w:left="57"/>
              <w:widowControl w:val="off"/>
              <w:rPr>
                <w:rFonts w:ascii="Liberation Sans Narrow" w:hAnsi="Liberation Sans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45685" cy="1533525"/>
                      <wp:effectExtent l="0" t="0" r="0" b="0"/>
                      <wp:docPr id="26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Рисунок 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45685" cy="15335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width:381.55pt;height:120.75pt;mso-wrap-distance-left:0.00pt;mso-wrap-distance-top:0.00pt;mso-wrap-distance-right:0.00pt;mso-wrap-distance-bottom:0.00pt;" stroked="false">
                      <v:path textboxrect="0,0,0,0"/>
                      <v:imagedata r:id="rId29" o:title=""/>
                    </v:shape>
                  </w:pict>
                </mc:Fallback>
              </mc:AlternateContent>
            </w:r>
            <w:r>
              <w:rPr>
                <w:rFonts w:ascii="Liberation Sans Narrow" w:hAnsi="Liberation Sans Narrow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0" w:leader="none"/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Liberation Sans Narrow" w:hAnsi="Liberation Sans Narrow"/>
                <w:sz w:val="28"/>
                <w:szCs w:val="28"/>
              </w:rPr>
              <w:t xml:space="preserve">•</w:t>
            </w:r>
            <w:r>
              <w:rPr>
                <w:rFonts w:ascii="Liberation Sans Narrow" w:hAnsi="Liberation Sans Narrow"/>
                <w:sz w:val="28"/>
                <w:szCs w:val="28"/>
              </w:rPr>
              <w:tab/>
            </w:r>
            <w:r>
              <w:rPr>
                <w:rFonts w:ascii="Arial Narrow" w:hAnsi="Arial Narrow"/>
                <w:sz w:val="28"/>
                <w:szCs w:val="28"/>
              </w:rPr>
              <w:t xml:space="preserve">Количество участников всероссийских юношеских соревнований за год, </w:t>
            </w:r>
            <w:r>
              <w:rPr>
                <w:rFonts w:ascii="Arial Narrow" w:hAnsi="Arial Narrow"/>
                <w:sz w:val="28"/>
                <w:szCs w:val="28"/>
              </w:rPr>
              <w:t xml:space="preserve">в  каждом</w:t>
            </w:r>
            <w:r>
              <w:rPr>
                <w:rFonts w:ascii="Arial Narrow" w:hAnsi="Arial Narrow"/>
                <w:sz w:val="28"/>
                <w:szCs w:val="28"/>
              </w:rPr>
              <w:t xml:space="preserve"> виде  =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0" w:leader="none"/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2023 г.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4"/>
              </w:numPr>
              <w:jc w:val="both"/>
              <w:widowControl w:val="off"/>
              <w:tabs>
                <w:tab w:val="left" w:pos="0" w:leader="none"/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Лазание на трудность = 9</w:t>
            </w:r>
            <w:r>
              <w:rPr>
                <w:rFonts w:ascii="Arial Narrow" w:hAnsi="Arial Narrow"/>
                <w:sz w:val="28"/>
                <w:szCs w:val="28"/>
              </w:rPr>
              <w:t xml:space="preserve">85</w:t>
            </w:r>
            <w:r>
              <w:rPr>
                <w:rFonts w:ascii="Arial Narrow" w:hAnsi="Arial Narrow"/>
                <w:sz w:val="28"/>
                <w:szCs w:val="28"/>
              </w:rPr>
              <w:t xml:space="preserve"> чел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4"/>
              </w:numPr>
              <w:contextualSpacing w:val="0"/>
              <w:jc w:val="both"/>
              <w:widowControl w:val="off"/>
              <w:tabs>
                <w:tab w:val="left" w:pos="0" w:leader="none"/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Лазание на скорость = 7</w:t>
            </w:r>
            <w:r>
              <w:rPr>
                <w:rFonts w:ascii="Arial Narrow" w:hAnsi="Arial Narrow"/>
                <w:sz w:val="28"/>
                <w:szCs w:val="28"/>
              </w:rPr>
              <w:t xml:space="preserve">77</w:t>
            </w:r>
            <w:r>
              <w:rPr>
                <w:rFonts w:ascii="Arial Narrow" w:hAnsi="Arial Narrow"/>
                <w:sz w:val="28"/>
                <w:szCs w:val="28"/>
              </w:rPr>
              <w:t xml:space="preserve"> чел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4"/>
              </w:numPr>
              <w:contextualSpacing w:val="0"/>
              <w:jc w:val="both"/>
              <w:spacing w:after="200"/>
              <w:widowControl w:val="off"/>
              <w:tabs>
                <w:tab w:val="left" w:pos="0" w:leader="none"/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Боулдеринг = 828 чел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2"/>
              </w:numPr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Двоеборье = 274 чел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0" w:leader="none"/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•</w:t>
            </w:r>
            <w:r>
              <w:rPr>
                <w:rFonts w:ascii="Arial Narrow" w:hAnsi="Arial Narrow"/>
                <w:sz w:val="28"/>
                <w:szCs w:val="28"/>
              </w:rPr>
              <w:tab/>
              <w:t xml:space="preserve">Среднее количество регионов, представленных на всероссийских юношеских соревнованиях =</w:t>
            </w:r>
            <w:r>
              <w:rPr>
                <w:rFonts w:ascii="Arial Narrow" w:hAnsi="Arial Narrow"/>
                <w:sz w:val="28"/>
                <w:szCs w:val="28"/>
              </w:rPr>
              <w:t xml:space="preserve"> 35 в год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Liberation Sans Narrow" w:hAnsi="Liberation Sans Narrow"/>
                <w:sz w:val="28"/>
                <w:szCs w:val="28"/>
              </w:rPr>
            </w:pPr>
            <w:r>
              <w:rPr>
                <w:rFonts w:ascii="Liberation Sans Narrow" w:hAnsi="Liberation Sans Narrow"/>
                <w:sz w:val="28"/>
                <w:szCs w:val="28"/>
              </w:rPr>
            </w:r>
            <w:r>
              <w:rPr>
                <w:rFonts w:ascii="Liberation Sans Narrow" w:hAnsi="Liberation Sans Narrow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color w:val="000000"/>
                <w:sz w:val="28"/>
                <w:szCs w:val="28"/>
              </w:rPr>
              <w:t xml:space="preserve">Адаптивный спорт</w:t>
            </w:r>
            <w:r>
              <w:rPr>
                <w:rFonts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pStyle w:val="1247"/>
              <w:numPr>
                <w:ilvl w:val="0"/>
                <w:numId w:val="10"/>
              </w:numPr>
              <w:ind w:left="34" w:firstLine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инвалидов, привлеченных к занятиям по адаптивному скалолазанию = 520 человек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firstLine="0"/>
              <w:jc w:val="both"/>
              <w:spacing w:after="200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регионов, в которых развивается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параскалолазанию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= 14</w:t>
            </w:r>
            <w:r/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</w:rPr>
              <w:t xml:space="preserve">·</w:t>
            </w:r>
            <w: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скалодромов, подходящих для проведения соревнований по параскалолазанию (высота скалодрома 15 и более метров) = 15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скалодромов, на которых можно проводить тренировки и занятия (высота скалодрома более 8 метров) = 61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специалистов в области адаптивного спорта = 20 человек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Аккредитация Минспорта России. 29.09.2023 ФСР прошла аккредитацию Минспорта России по включению дисциплин параскалолазания в скалолазание (до этого не имели права проводить соревнования)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</w:r>
            <w:r>
              <w:rPr>
                <w:shd w:val="clear" w:color="auto" w:fill="ffff00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color w:val="000000"/>
                <w:sz w:val="28"/>
                <w:szCs w:val="28"/>
              </w:rPr>
              <w:t xml:space="preserve">Спортивная инфраструктура</w:t>
            </w:r>
            <w:r>
              <w:rPr>
                <w:rFonts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Общее количество скалодромов = более 250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современных скалодромов, подходящих для проведения ВС, международных соревнований и подготовки к ним = 7 (Москва,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Воронеж, Пермь, Тюмень, Калининград, Пенза, Красноярск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, Екатеринбург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используемых федеральных тренировочных баз = 3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тренировочных баз Федерации = 0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регионов России с развитыми скальными районами = 31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пробитых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трасс для нижней страховки на скалах = 8000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боулдеринговых трасс, подготовленных для лазания на скалах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000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459" w:leader="none"/>
              </w:tabs>
              <w:rPr>
                <w:shd w:val="clear" w:color="auto" w:fill="ffff00"/>
              </w:rPr>
            </w:pPr>
            <w:r>
              <w:t xml:space="preserve"> </w:t>
            </w:r>
            <w:r>
              <w:rPr>
                <w:shd w:val="clear" w:color="auto" w:fill="ffff00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color w:val="000000"/>
                <w:sz w:val="28"/>
                <w:szCs w:val="28"/>
              </w:rPr>
              <w:t xml:space="preserve">Международное сотрудничество</w:t>
            </w:r>
            <w:r>
              <w:rPr>
                <w:rFonts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</w:rPr>
              <w:t xml:space="preserve">·</w:t>
            </w:r>
            <w: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представителей в международной федерации скалолазания (руководство, комиссии, рабочие группы) =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8  (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в марте 2022 по настоящее время решением </w:t>
            </w:r>
            <w:r>
              <w:rPr>
                <w:rFonts w:ascii="Arial Narrow" w:hAnsi="Arial Narrow"/>
                <w:color w:val="000000"/>
                <w:sz w:val="28"/>
                <w:szCs w:val="28"/>
                <w:lang w:val="en-US"/>
              </w:rPr>
              <w:t xml:space="preserve">IFSC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деятельность приостановлена).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стран, с которыми ведется взаимодействие = 32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стран, с которыми подписаны соглашения о сотрудничестве = 0 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международных/открытых соревнований по скалолазанию, проводимых на территории России, за год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=  2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стран, участвующих в международных соревнованиях на территории России = 41 (по последним МС, 2021)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стран, участвующих в российских открытых соревнованиях = 6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международных/открытых соревнований по скалолазанию с участием российских спортсменов, за год = до отстранения российских спортсменов - более 15 (юношеские и взрослые)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международных мероприятий с участием представителей Федерации, за год = 4 (до приостановки членства ФСР в </w:t>
            </w:r>
            <w:r>
              <w:rPr>
                <w:rFonts w:ascii="Arial Narrow" w:hAnsi="Arial Narrow"/>
                <w:color w:val="000000"/>
                <w:sz w:val="28"/>
                <w:szCs w:val="28"/>
                <w:lang w:val="en-US"/>
              </w:rPr>
              <w:t xml:space="preserve">IFSC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международных/открытых мероприятий (не спортивных), проводимых на территории России = 0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международных/открытых мероприятий (не спортивных) с участием российских представителей = 1 (США курсы инструкторов)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</w:r>
            <w:r>
              <w:rPr>
                <w:shd w:val="clear" w:color="auto" w:fill="ffff00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color w:val="000000"/>
                <w:sz w:val="28"/>
                <w:szCs w:val="28"/>
              </w:rPr>
              <w:t xml:space="preserve">Научное и кадровое обеспечение, подготовка специалистов</w:t>
            </w:r>
            <w:r>
              <w:rPr>
                <w:rFonts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 xml:space="preserve">Состояние кадрового ресурса:</w:t>
            </w:r>
            <w:r>
              <w:rPr>
                <w:rFonts w:ascii="Arial Narrow" w:hAnsi="Arial Narrow"/>
                <w:i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0"/>
              </w:numPr>
              <w:ind w:left="34" w:hanging="34"/>
              <w:jc w:val="both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sz w:val="28"/>
                <w:szCs w:val="28"/>
              </w:rPr>
              <w:t xml:space="preserve">Количество действующих инструкторов ФСР = 234 чел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jc w:val="both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sz w:val="28"/>
                <w:szCs w:val="28"/>
              </w:rPr>
              <w:t xml:space="preserve">Количество судей всероссийской категории = 34 чел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jc w:val="both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Общее количество тренеров = (требует дополнительного сбора информации). 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jc w:val="both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штатных тренеров (Минспорт РФ 1-ФК) = 483 чел.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jc w:val="both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аттестованных ФСР тренеров = 0 (работа пока не ведется). 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Количество подготовщиков трасс всероссийских соревнований = 14 </w:t>
            </w:r>
            <w:r>
              <w:rPr>
                <w:rFonts w:ascii="Arial Narrow" w:hAnsi="Arial Narrow"/>
                <w:sz w:val="28"/>
                <w:szCs w:val="28"/>
              </w:rPr>
              <w:t xml:space="preserve">чел.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spacing w:after="200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Количество аттестованных ФСР подготовщиков трасс = 9 чел.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i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</w: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  <w:t xml:space="preserve">Подготовка специалистов:</w:t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0"/>
              </w:numPr>
              <w:ind w:left="34" w:hanging="34"/>
              <w:jc w:val="both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sz w:val="28"/>
                <w:szCs w:val="28"/>
              </w:rPr>
              <w:t xml:space="preserve">Количество специалистов, проходящих повышение квалификации в ФСР = 100 </w:t>
            </w:r>
            <w:r>
              <w:rPr>
                <w:rFonts w:ascii="Arial Narrow" w:hAnsi="Arial Narrow"/>
                <w:sz w:val="28"/>
                <w:szCs w:val="28"/>
              </w:rPr>
              <w:t xml:space="preserve">чел/год</w:t>
            </w:r>
            <w:r>
              <w:rPr>
                <w:rFonts w:ascii="Arial Narrow" w:hAnsi="Arial Narrow"/>
                <w:sz w:val="28"/>
                <w:szCs w:val="28"/>
              </w:rPr>
              <w:t xml:space="preserve">.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jc w:val="both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sz w:val="28"/>
                <w:szCs w:val="28"/>
              </w:rPr>
              <w:t xml:space="preserve">Количество ВУЗов осуществляющих подготовку тренеров по скалолазанию = 5 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jc w:val="both"/>
              <w:spacing w:after="200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sz w:val="28"/>
                <w:szCs w:val="28"/>
              </w:rPr>
              <w:t xml:space="preserve">Количество программ повышения квалификации для специалистов по скалолазанию = 2 </w:t>
            </w:r>
            <w:r/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</w:pPr>
            <w:r/>
            <w:r/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  <w:t xml:space="preserve">Научная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деятельность: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0"/>
              </w:numPr>
              <w:ind w:left="34" w:hanging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Участие в круглых столах, научных конференциях = 8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jc w:val="both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научных статей по скалолазанию российских авторов (публикации в реферируемых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журналах с высоким индексом цитирования) = 4 (за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2022-2023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гг.)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ind w:left="34" w:hanging="34"/>
              <w:jc w:val="both"/>
              <w:spacing w:after="200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Количество новых/адаптированных методик/технологий, разработанных в ФСР = 1 (за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2022-2023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гг.) </w:t>
            </w:r>
            <w:r/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</w:r>
            <w:r>
              <w:rPr>
                <w:shd w:val="clear" w:color="auto" w:fill="ffff00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Цифровизация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i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Работа</w:t>
            </w: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аппарата</w:t>
            </w: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ФСР</w:t>
            </w: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серверов в офисе (в офисах) = 1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Количество используемых облачных серверов/хранилищ = 0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Уровень доступности материалов для всех сотрудников = 20%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Использование информационных систем для упорядоченного хранения документов = нет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Использование информационных систем для планирования и контроля деятельности (проектов, задач) - частично (Битрикс24)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Уровень резервирования всех используемых систем (наличие плана восстановления в случае выхода из строя компьютера/сервера/облака) = нет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i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  <w:t xml:space="preserve">Работа рядовых членов ФСР </w:t>
            </w: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Наличие открытых информационных ресурсов (сайтов,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соц.сетей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) = есть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Наличие специализированных ресурсов (систем с авторизацией для доступа к общим материалам) = 1 (portal.rusclimbing.ru)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Наличие информационных систем ФСР для использования региональных федераций (работа с заявками, статистика по спортсменам) = 1 (portal.rusclimbing.ru), только подача заявок на соревнования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Наличие информационных систем ФСР для персонального использования (личные кабинеты) = нет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i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  <w:t xml:space="preserve">Организация соревнований </w:t>
            </w: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Уровень автоматизации при проведении соревнований = около 80%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Возможности для использования в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видео-трансляции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= частично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Уровень соревнований, охватываемых видеотрансляцией = всероссийские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Использование статистики соревнований в дальнейшей деятельности = в зачаточном состоянии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i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  <w:t xml:space="preserve">Работа со сборной командой </w:t>
            </w:r>
            <w:r>
              <w:rPr>
                <w:rFonts w:ascii="Arial Narrow" w:hAnsi="Arial Narrow"/>
                <w:i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Symbol" w:hAnsi="Symbol" w:eastAsia="Symbol" w:cs="Symbol"/>
                <w:color w:val="000000"/>
                <w:sz w:val="28"/>
                <w:szCs w:val="28"/>
              </w:rPr>
              <w:t xml:space="preserve">·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Наличие информационной системы для планирования и анализа тренировочного процесса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= нет (организован сбор и анализ данных).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cs="Arial"/>
              </w:rPr>
            </w:pPr>
            <w:r>
              <w:rPr>
                <w:rFonts w:ascii="Arial Narrow" w:hAnsi="Arial Narrow" w:eastAsia="Calibri" w:cs="Arial"/>
                <w:color w:val="000000"/>
                <w:sz w:val="28"/>
                <w:szCs w:val="28"/>
              </w:rPr>
              <w:t xml:space="preserve">Финансовое обеспечение</w:t>
            </w:r>
            <w:r>
              <w:rPr>
                <w:rFonts w:cs="Arial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7872" w:type="dxa"/>
            <w:textDirection w:val="lrTb"/>
            <w:noWrap w:val="false"/>
          </w:tcPr>
          <w:p>
            <w:pPr>
              <w:ind w:left="57"/>
              <w:jc w:val="both"/>
              <w:spacing w:after="0" w:line="240" w:lineRule="auto"/>
              <w:widowControl w:val="off"/>
              <w:tabs>
                <w:tab w:val="left" w:pos="459" w:leader="none"/>
              </w:tabs>
              <w:rPr>
                <w:rFonts w:cs="Arial"/>
              </w:rPr>
            </w:pPr>
            <w:r>
              <w:rPr>
                <w:rFonts w:ascii="Arial Narrow" w:hAnsi="Arial Narrow" w:eastAsia="Calibri" w:cs="Arial"/>
                <w:color w:val="000000"/>
                <w:sz w:val="28"/>
                <w:szCs w:val="28"/>
              </w:rPr>
              <w:t xml:space="preserve">Источники финансирования:</w:t>
            </w:r>
            <w:r>
              <w:rPr>
                <w:rFonts w:cs="Arial"/>
              </w:rPr>
            </w:r>
          </w:p>
          <w:p>
            <w:pPr>
              <w:pStyle w:val="1247"/>
              <w:numPr>
                <w:ilvl w:val="0"/>
                <w:numId w:val="10"/>
              </w:numPr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Бюджетные (гос.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органы)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Внебюджетные  (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спонсоры, коммерческая деятельность)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Гранты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Членские взносы</w:t>
            </w:r>
            <w:r/>
          </w:p>
          <w:p>
            <w:pPr>
              <w:pStyle w:val="1247"/>
              <w:numPr>
                <w:ilvl w:val="0"/>
                <w:numId w:val="10"/>
              </w:numPr>
              <w:contextualSpacing w:val="0"/>
              <w:jc w:val="both"/>
              <w:spacing w:after="200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Пожертвования </w:t>
            </w:r>
            <w:r/>
          </w:p>
          <w:p>
            <w:pPr>
              <w:pStyle w:val="1247"/>
              <w:ind w:left="34"/>
              <w:jc w:val="both"/>
              <w:widowControl w:val="off"/>
              <w:tabs>
                <w:tab w:val="left" w:pos="459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Объемы и доли бюджетного и внебюджетного финансирования = 98% и 2% соответственно</w:t>
            </w:r>
            <w:r/>
          </w:p>
        </w:tc>
      </w:tr>
    </w:tbl>
    <w:p>
      <w:pPr>
        <w:jc w:val="both"/>
        <w:spacing w:after="0"/>
        <w:rPr>
          <w:rFonts w:ascii="Arial Narrow" w:hAnsi="Arial Narrow"/>
          <w:color w:val="ff0000"/>
          <w:sz w:val="28"/>
          <w:szCs w:val="28"/>
          <w:lang w:eastAsia="ru-RU"/>
        </w:rPr>
      </w:pPr>
      <w:r>
        <w:rPr>
          <w:rFonts w:ascii="Arial Narrow" w:hAnsi="Arial Narrow"/>
          <w:color w:val="ff0000"/>
          <w:sz w:val="28"/>
          <w:szCs w:val="28"/>
          <w:lang w:eastAsia="ru-RU"/>
        </w:rPr>
      </w:r>
      <w:r>
        <w:rPr>
          <w:rFonts w:ascii="Arial Narrow" w:hAnsi="Arial Narrow"/>
          <w:color w:val="ff0000"/>
          <w:sz w:val="28"/>
          <w:szCs w:val="28"/>
          <w:lang w:eastAsia="ru-RU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18532" cy="3080551"/>
                <wp:effectExtent l="0" t="0" r="5080" b="0"/>
                <wp:docPr id="27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Рисунок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6223622" cy="3083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89.65pt;height:242.56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Проблемы развития скалолазания в России 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Ключевые проблемы развития описаны в разрезе </w:t>
      </w:r>
      <w:r>
        <w:rPr>
          <w:rFonts w:ascii="Arial Narrow" w:hAnsi="Arial Narrow"/>
          <w:sz w:val="28"/>
          <w:szCs w:val="28"/>
        </w:rPr>
        <w:t xml:space="preserve">11-ти</w:t>
      </w:r>
      <w:r>
        <w:rPr>
          <w:rFonts w:ascii="Arial Narrow" w:hAnsi="Arial Narrow"/>
          <w:sz w:val="28"/>
          <w:szCs w:val="28"/>
        </w:rPr>
        <w:t xml:space="preserve"> приоритетных направлений, выделенных в Стратегии развития физической культуры и спорта в РФ.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28"/>
        <w:gridCol w:w="8725"/>
      </w:tblGrid>
      <w:tr>
        <w:tblPrEx/>
        <w:trPr/>
        <w:tc>
          <w:tcPr>
            <w:tcW w:w="112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9755" cy="556260"/>
                      <wp:effectExtent l="0" t="0" r="0" b="0"/>
                      <wp:docPr id="28" name="Изображение8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" name="Изображение8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9755" cy="556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width:45.65pt;height:43.8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872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В данном разделе используются мнения и сводные данные, полученные во время сессионной работы с представителями региональных федераций, а также данные по результатам опросов</w:t>
            </w:r>
            <w:r>
              <w:rPr>
                <w:rFonts w:ascii="Arial Narrow" w:hAnsi="Arial Narrow"/>
                <w:i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</w:t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02"/>
        <w:gridCol w:w="6451"/>
      </w:tblGrid>
      <w:tr>
        <w:tblPrEx/>
        <w:trPr>
          <w:tblHeader/>
        </w:trPr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Приоритетное направление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64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Перечень проблем в области развития скалолазания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  <w:shd w:val="clear" w:color="auto" w:fill="ffff00"/>
              </w:rPr>
            </w:pPr>
            <w:r>
              <w:rPr>
                <w:rFonts w:ascii="Arial Narrow" w:hAnsi="Arial Narrow"/>
                <w:sz w:val="28"/>
                <w:szCs w:val="28"/>
                <w:shd w:val="clear" w:color="auto" w:fill="ffff00"/>
              </w:rPr>
            </w:r>
            <w:r>
              <w:rPr>
                <w:rFonts w:ascii="Arial Narrow" w:hAnsi="Arial Narrow"/>
                <w:sz w:val="28"/>
                <w:szCs w:val="28"/>
                <w:shd w:val="clear" w:color="auto" w:fill="ffff00"/>
              </w:rPr>
            </w:r>
          </w:p>
        </w:tc>
      </w:tr>
      <w:tr>
        <w:tblPrEx/>
        <w:trPr/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Совершенствование здоровья и благополучия, а также повышение уровня жизни населения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 w:cs="Arial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  <w:t xml:space="preserve">Невысокий уровень информированности и 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вовлеченности общественности в продвижение российского скалолазания. Недостаточное внимание в СМИ к знаковым событиям ФСР.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 w:cs="Arial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  <w:t xml:space="preserve">Недостаточная популяризация скалолазания среди населения, особенно среди детей и молодежи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5"/>
              </w:numPr>
              <w:ind w:left="40" w:firstLine="0"/>
              <w:jc w:val="both"/>
              <w:widowControl w:val="off"/>
              <w:tabs>
                <w:tab w:val="left" w:pos="317" w:leader="none"/>
              </w:tabs>
              <w:rPr>
                <w:rFonts w:cs="Arial"/>
                <w:shd w:val="clear" w:color="auto" w:fill="00ff00"/>
                <w:lang w:eastAsia="en-US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  <w:lang w:eastAsia="en-US"/>
              </w:rPr>
              <w:t xml:space="preserve">Недостаточная работа ФСР с детско-юношескими организациями, в </w:t>
            </w:r>
            <w:r>
              <w:rPr>
                <w:rFonts w:ascii="Arial Narrow" w:hAnsi="Arial Narrow" w:eastAsia="Calibri" w:cs="Arial"/>
                <w:sz w:val="28"/>
                <w:szCs w:val="28"/>
                <w:lang w:eastAsia="en-US"/>
              </w:rPr>
              <w:t xml:space="preserve">т.ч.</w:t>
            </w:r>
            <w:r>
              <w:rPr>
                <w:rFonts w:ascii="Arial Narrow" w:hAnsi="Arial Narrow" w:eastAsia="Calibri" w:cs="Arial"/>
                <w:sz w:val="28"/>
                <w:szCs w:val="28"/>
                <w:lang w:eastAsia="en-US"/>
              </w:rPr>
              <w:t xml:space="preserve"> общеобразовательными школами и вузами.</w:t>
            </w:r>
            <w:r>
              <w:rPr>
                <w:rFonts w:cs="Arial"/>
                <w:shd w:val="clear" w:color="auto" w:fill="00ff00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Развитие системы подготовки спортивного резерва и спорта высших достижений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 w:cs="Arial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Недостаточные условия для занятий скалолазанием детей и молодежи на всех уровнях подготовки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 w:cs="Arial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  <w:t xml:space="preserve">Недостаточное количество учреждений спортивной подготовки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, оснащенных скалодромами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 w:cs="Arial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  <w:t xml:space="preserve">Недостаточное количество отделений в спортшколах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Недостаточное количество и качество методических материалов в спортшколах.</w:t>
            </w:r>
            <w:r>
              <w:rPr>
                <w:rFonts w:ascii="Arial Narrow" w:hAnsi="Arial Narrow" w:eastAsia="Calibri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Развитие кадрового потенциала физической культуры, спорта и спортивной медицины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  <w:t xml:space="preserve">Количественный и качественный дефицит квалифицированных кадров во всех направлениях деятельности</w:t>
            </w:r>
            <w:r>
              <w:rPr>
                <w:rFonts w:ascii="Arial Narrow" w:hAnsi="Arial Narrow" w:eastAsia="Calibri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 w:cs="Arial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  <w:t xml:space="preserve">Слабо развитая система наставничества и оказания методологической поддержки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 w:cs="Arial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Недостаточно программ подготовки специалистов по всем направлениям деятельности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 w:cs="Arial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Низкая мотивация абитуриентов, специалистов к получению высшего образования и переподготовке в сфере физической культуры и спорта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Arial Narrow" w:hAnsi="Arial Narrow" w:eastAsia="Calibri" w:cs="Arial"/>
                <w:color w:val="365f91"/>
                <w:shd w:val="clear" w:color="auto" w:fill="00ff00"/>
              </w:rPr>
            </w:pPr>
            <w:r>
              <w:rPr>
                <w:rFonts w:ascii="Arial Narrow" w:hAnsi="Arial Narrow" w:eastAsia="Calibri" w:cs="Arial"/>
                <w:sz w:val="28"/>
                <w:szCs w:val="28"/>
              </w:rPr>
              <w:t xml:space="preserve">•</w:t>
            </w:r>
            <w:r>
              <w:rPr>
                <w:rFonts w:ascii="Arial Narrow" w:hAnsi="Arial Narrow" w:eastAsia="Calibri" w:cs="Arial"/>
                <w:sz w:val="28"/>
                <w:szCs w:val="28"/>
              </w:rPr>
              <w:tab/>
              <w:t xml:space="preserve">Низкая мотивация специалистов преподавать в вузах на кафедрах со специализацией в скалолазании</w:t>
            </w:r>
            <w:r>
              <w:rPr>
                <w:rFonts w:ascii="Arial Narrow" w:hAnsi="Arial Narrow" w:eastAsia="Calibri" w:cs="Arial"/>
                <w:color w:val="365f91"/>
                <w:shd w:val="clear" w:color="auto" w:fill="00ff00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Развитие научного обеспечения физической культуры и спорта, спортивной медицины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pStyle w:val="1247"/>
              <w:numPr>
                <w:ilvl w:val="0"/>
                <w:numId w:val="9"/>
              </w:numPr>
              <w:ind w:left="0" w:firstLine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Начальный</w:t>
            </w:r>
            <w:r>
              <w:rPr>
                <w:rFonts w:ascii="Arial Narrow" w:hAnsi="Arial Narrow"/>
                <w:sz w:val="28"/>
                <w:szCs w:val="28"/>
              </w:rPr>
              <w:t xml:space="preserve"> уровень компетенций в проведении научных исследований и разработке новых методов тренировок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ind w:left="0" w:firstLine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Недостаток научно-методических разработок и материалов по подготовке спортсменов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ind w:left="0" w:firstLine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Недостаток материалов по спортивной медицине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Развитие системы </w:t>
            </w: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антидопингового обеспечения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pStyle w:val="1247"/>
              <w:numPr>
                <w:ilvl w:val="0"/>
                <w:numId w:val="9"/>
              </w:numPr>
              <w:ind w:left="0" w:firstLine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Непризнание РУСАДА со стороны WADA: 23 сентября </w:t>
            </w:r>
            <w:r>
              <w:rPr>
                <w:rFonts w:ascii="Arial Narrow" w:hAnsi="Arial Narrow"/>
                <w:sz w:val="28"/>
                <w:szCs w:val="28"/>
              </w:rPr>
              <w:t xml:space="preserve">2023 WADA заявило о продолжении несоответствия РУСАДА Всемирному антидопинговому кодексу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Развитие инфраструктуры физической культуры и спорта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pStyle w:val="1247"/>
              <w:numPr>
                <w:ilvl w:val="0"/>
                <w:numId w:val="9"/>
              </w:numPr>
              <w:ind w:left="40" w:hanging="4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Недостаток инфраструктуры для занятий скалолазанием на всей территории страны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ind w:left="40" w:hanging="4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Отсутствие специализированной базы для сборной команды России по скалолазанию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ind w:left="40" w:hanging="4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Недостаточное количество скалодромов, соответствующих</w:t>
            </w:r>
            <w:r>
              <w:rPr>
                <w:rFonts w:ascii="Arial Narrow" w:hAnsi="Arial Narrow"/>
                <w:sz w:val="28"/>
                <w:szCs w:val="28"/>
              </w:rPr>
              <w:t xml:space="preserve"> мировым стандартам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ind w:left="40" w:hanging="4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Недостаточная оснащенность скалодромов современным оборудованием, нерегулярное обновление оборудования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Совершенствование системы управления отраслью и взаимодействия между субъектами физической культуры и спорта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pStyle w:val="1247"/>
              <w:numPr>
                <w:ilvl w:val="0"/>
                <w:numId w:val="9"/>
              </w:numPr>
              <w:ind w:left="40" w:firstLine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Несовершенство системы управления ФСР, </w:t>
            </w:r>
            <w:r>
              <w:rPr>
                <w:rFonts w:ascii="Arial Narrow" w:hAnsi="Arial Narrow"/>
                <w:sz w:val="28"/>
                <w:szCs w:val="28"/>
              </w:rPr>
              <w:t xml:space="preserve">в частности:</w:t>
            </w:r>
            <w:r>
              <w:rPr>
                <w:rFonts w:ascii="Arial Narrow" w:hAnsi="Arial Narrow"/>
                <w:sz w:val="28"/>
                <w:szCs w:val="28"/>
              </w:rPr>
              <w:t xml:space="preserve"> принятия управленческих решений, налаживания деловых коммуникаций, оценки эффективности организационной деятельности </w:t>
            </w:r>
            <w:r>
              <w:rPr>
                <w:rFonts w:ascii="Arial Narrow" w:hAnsi="Arial Narrow"/>
                <w:sz w:val="28"/>
                <w:szCs w:val="28"/>
              </w:rPr>
              <w:t xml:space="preserve">и др.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Цифровая трансформация системы управления отраслью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pStyle w:val="1247"/>
              <w:numPr>
                <w:ilvl w:val="0"/>
                <w:numId w:val="9"/>
              </w:numPr>
              <w:ind w:left="0" w:firstLine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Недостаточно современный и удобный в использовании информационный ресурс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contextualSpacing w:val="0"/>
              <w:ind w:left="0" w:firstLine="0"/>
              <w:jc w:val="both"/>
              <w:spacing w:after="200"/>
              <w:widowControl w:val="off"/>
              <w:tabs>
                <w:tab w:val="left" w:pos="317" w:leader="none"/>
              </w:tabs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Отсутствие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 виртуальных и киберспортивных платформ</w:t>
            </w:r>
            <w:r/>
          </w:p>
        </w:tc>
      </w:tr>
      <w:tr>
        <w:tblPrEx/>
        <w:trPr/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Развитие экономической модели физической культуры и спорта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pStyle w:val="1247"/>
              <w:numPr>
                <w:ilvl w:val="0"/>
                <w:numId w:val="9"/>
              </w:numPr>
              <w:ind w:left="34" w:firstLine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 разработана бизнес-модель ФСР, портфель продуктов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ind w:left="34" w:firstLine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Рост конкуренции с другими видами спорта за ресурсы потребителей (время, финансы)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contextualSpacing w:val="0"/>
              <w:ind w:left="34" w:firstLine="0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Недостаточный уровень финансово-ресурсного обеспечения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contextualSpacing w:val="0"/>
              <w:ind w:left="34" w:firstLine="0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Высокая зависимость от бюджетных источников финансирования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contextualSpacing w:val="0"/>
              <w:ind w:left="34" w:firstLine="0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Недостаточно эффективная работа по привлечению спонсоров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contextualSpacing w:val="0"/>
              <w:ind w:left="34" w:firstLine="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Сокращение маркетинговых бюджетов </w:t>
            </w:r>
            <w:r>
              <w:rPr>
                <w:rFonts w:ascii="Arial Narrow" w:hAnsi="Arial Narrow"/>
                <w:sz w:val="28"/>
                <w:szCs w:val="28"/>
              </w:rPr>
              <w:t xml:space="preserve">спонсоров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contextualSpacing w:val="0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Calibri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Развитие международного спортивного сотрудничества</w:t>
            </w:r>
            <w:r>
              <w:rPr>
                <w:rFonts w:ascii="Arial Narrow" w:hAnsi="Arial Narrow" w:eastAsia="Calibri"/>
                <w:sz w:val="28"/>
                <w:szCs w:val="28"/>
              </w:rPr>
            </w:r>
          </w:p>
        </w:tc>
        <w:tc>
          <w:tcPr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pStyle w:val="1247"/>
              <w:ind w:left="40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Сложившаяся с 2022 года ситуация политизации мирового спорта негативно влияет на развитие скалолазания в России: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contextualSpacing w:val="0"/>
              <w:ind w:left="34" w:firstLine="0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Международная федерация скалолазания запретила российским спортсменам участвовать в международных соревнованиях на общих условиях. При этом в предложенных международной федерацией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специальных условиях участия заключены риски нарушения законодательства России.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9"/>
              </w:numPr>
              <w:contextualSpacing w:val="0"/>
              <w:ind w:left="34" w:firstLine="0"/>
              <w:widowControl w:val="off"/>
              <w:tabs>
                <w:tab w:val="left" w:pos="317" w:leader="none"/>
              </w:tabs>
              <w:rPr>
                <w:rFonts w:ascii="Arial Narrow" w:hAnsi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Международная федерация скалолазания стремится изолировать ФСР от других национальных федераций скалолазания, что усложняет сотрудничество с другими странами с целью совместного развития скалолазания.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247"/>
              <w:ind w:left="40"/>
              <w:jc w:val="both"/>
              <w:widowControl w:val="off"/>
              <w:tabs>
                <w:tab w:val="left" w:pos="317" w:leader="none"/>
              </w:tabs>
              <w:rPr>
                <w:shd w:val="clear" w:color="auto" w:fill="00ff00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•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ab/>
              <w:t xml:space="preserve">У ФСР недостаточно специалистов в области 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спортивного  менеджмента</w:t>
            </w:r>
            <w:r>
              <w:rPr>
                <w:rFonts w:ascii="Arial Narrow" w:hAnsi="Arial Narrow"/>
                <w:color w:val="000000"/>
                <w:sz w:val="28"/>
                <w:szCs w:val="28"/>
              </w:rPr>
              <w:t xml:space="preserve">, что также усложняет работу по увеличению количества представителей ФСР в структурах международной федерации скалолазания.</w:t>
            </w:r>
            <w:r>
              <w:rPr>
                <w:shd w:val="clear" w:color="auto" w:fill="00ff00"/>
              </w:rPr>
            </w:r>
          </w:p>
        </w:tc>
      </w:tr>
      <w:tr>
        <w:tblPrEx/>
        <w:trPr/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b/>
                <w:bCs/>
                <w:sz w:val="28"/>
                <w:szCs w:val="28"/>
              </w:rPr>
              <w:t xml:space="preserve">Формирование комфортной и безопасной среды в сфере физической культуры и спорта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Borders>
              <w:top w:val="single" w:color="0070C0" w:sz="4" w:space="0"/>
              <w:bottom w:val="single" w:color="0070C0" w:sz="4" w:space="0"/>
            </w:tcBorders>
            <w:tcW w:w="6450" w:type="dxa"/>
            <w:textDirection w:val="lrTb"/>
            <w:noWrap w:val="false"/>
          </w:tcPr>
          <w:p>
            <w:pPr>
              <w:pStyle w:val="1247"/>
              <w:numPr>
                <w:ilvl w:val="0"/>
                <w:numId w:val="9"/>
              </w:numPr>
              <w:ind w:left="0" w:firstLine="0"/>
              <w:jc w:val="both"/>
              <w:widowControl w:val="off"/>
              <w:tabs>
                <w:tab w:val="left" w:pos="308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Отсутствие единой системы обеспечения безопасности при занятиях скалолазанием</w:t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0"/>
              <w:jc w:val="both"/>
              <w:widowControl w:val="off"/>
              <w:tabs>
                <w:tab w:val="left" w:pos="308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  <w:p>
            <w:pPr>
              <w:pStyle w:val="1247"/>
              <w:ind w:left="34"/>
              <w:jc w:val="both"/>
              <w:widowControl w:val="off"/>
              <w:tabs>
                <w:tab w:val="left" w:pos="317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4818"/>
        <w:gridCol w:w="4819"/>
      </w:tblGrid>
      <w:tr>
        <w:tblPrEx/>
        <w:trPr/>
        <w:tc>
          <w:tcPr>
            <w:tcW w:w="48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77190" cy="361950"/>
                      <wp:effectExtent l="0" t="0" r="0" b="0"/>
                      <wp:docPr id="29" name="Изображение9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" name="Изображение9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77189" cy="361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width:29.70pt;height:28.5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48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77190" cy="361950"/>
                      <wp:effectExtent l="0" t="0" r="0" b="0"/>
                      <wp:docPr id="30" name="Изображение10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" name="Изображение10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77189" cy="361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width:29.70pt;height:28.5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  <w:tr>
        <w:tblPrEx/>
        <w:trPr/>
        <w:tc>
          <w:tcPr>
            <w:tcW w:w="481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 w:cs="Arial" w:eastAsiaTheme="minorEastAsia"/>
                <w:i/>
                <w:color w:val="000000" w:themeColor="dark1"/>
                <w:sz w:val="24"/>
                <w:szCs w:val="24"/>
                <w:lang w:eastAsia="ru-RU"/>
              </w:rPr>
              <w:t xml:space="preserve">Вопрос: Какие важные проблемы необходимо решить для повышения эффективности работы региональной федерации?</w:t>
            </w:r>
            <w:r>
              <w:rPr>
                <w:rFonts w:ascii="Arial Narrow" w:hAnsi="Arial Narrow"/>
                <w:i/>
                <w:sz w:val="24"/>
                <w:szCs w:val="24"/>
              </w:rPr>
            </w:r>
          </w:p>
        </w:tc>
        <w:tc>
          <w:tcPr>
            <w:tcW w:w="481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 w:cs="Arial" w:eastAsiaTheme="minorEastAsia"/>
                <w:i/>
                <w:color w:val="000000" w:themeColor="dark1"/>
                <w:sz w:val="24"/>
                <w:szCs w:val="24"/>
                <w:lang w:eastAsia="ru-RU"/>
              </w:rPr>
              <w:t xml:space="preserve">Вопрос: Укажите основные причины недостаточного внимания к данному виду спорта со стороны администрации города/региона?</w:t>
            </w:r>
            <w:r>
              <w:rPr>
                <w:rFonts w:ascii="Arial Narrow" w:hAnsi="Arial Narrow"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48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Theme="minorEastAsia"/>
                <w:color w:val="000000" w:themeColor="dark1"/>
                <w:sz w:val="28"/>
                <w:szCs w:val="28"/>
                <w:lang w:eastAsia="ru-RU"/>
              </w:rPr>
            </w:pPr>
            <w:r>
              <w:rPr>
                <w:rFonts w:ascii="Arial Narrow" w:hAnsi="Arial Narrow" w:eastAsiaTheme="minorEastAsia"/>
                <w:color w:val="000000" w:themeColor="dark1"/>
                <w:sz w:val="28"/>
                <w:szCs w:val="28"/>
                <w:lang w:eastAsia="ru-RU"/>
              </w:rPr>
            </w:r>
            <w:r>
              <w:rPr>
                <w:rFonts w:ascii="Arial Narrow" w:hAnsi="Arial Narrow" w:eastAsiaTheme="minorEastAsia"/>
                <w:color w:val="000000" w:themeColor="dark1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75485" cy="1779905"/>
                      <wp:effectExtent l="0" t="0" r="0" b="0"/>
                      <wp:docPr id="31" name="Рисунок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" name="Рисунок 38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75485" cy="17799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width:155.55pt;height:140.15pt;mso-wrap-distance-left:0.00pt;mso-wrap-distance-top:0.00pt;mso-wrap-distance-right:0.00pt;mso-wrap-distance-bottom:0.00pt;" stroked="false">
                      <v:path textboxrect="0,0,0,0"/>
                      <v:imagedata r:id="rId31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48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Theme="minorEastAsia"/>
                <w:color w:val="000000" w:themeColor="dark1"/>
                <w:sz w:val="28"/>
                <w:szCs w:val="28"/>
                <w:lang w:eastAsia="ru-RU"/>
              </w:rPr>
            </w:pPr>
            <w:r>
              <w:rPr>
                <w:rFonts w:ascii="Arial Narrow" w:hAnsi="Arial Narrow" w:eastAsiaTheme="minorEastAsia"/>
                <w:color w:val="000000" w:themeColor="dark1"/>
                <w:sz w:val="28"/>
                <w:szCs w:val="28"/>
                <w:lang w:eastAsia="ru-RU"/>
              </w:rPr>
            </w:r>
            <w:r>
              <w:rPr>
                <w:rFonts w:ascii="Arial Narrow" w:hAnsi="Arial Narrow" w:eastAsiaTheme="minorEastAsia"/>
                <w:color w:val="000000" w:themeColor="dark1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67865" cy="1758950"/>
                      <wp:effectExtent l="0" t="0" r="0" b="0"/>
                      <wp:docPr id="32" name="Рисунок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" name="Рисунок 39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67865" cy="1758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width:154.95pt;height:138.50pt;mso-wrap-distance-left:0.00pt;mso-wrap-distance-top:0.00pt;mso-wrap-distance-right:0.00pt;mso-wrap-distance-bottom:0.00pt;" stroked="false">
                      <v:path textboxrect="0,0,0,0"/>
                      <v:imagedata r:id="rId3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</w:pPr>
      <w:r>
        <w:rPr>
          <w:rFonts w:ascii="Arial Narrow" w:hAnsi="Arial Narrow"/>
          <w:sz w:val="28"/>
          <w:szCs w:val="28"/>
        </w:rPr>
        <w:t xml:space="preserve">Скалолазание в Ро</w:t>
      </w:r>
      <w:r>
        <w:rPr>
          <w:rFonts w:ascii="Arial Narrow" w:hAnsi="Arial Narrow"/>
          <w:sz w:val="28"/>
          <w:szCs w:val="28"/>
        </w:rPr>
        <w:t xml:space="preserve">ссии имеет большой потенциал для развития, и как спорт высших достижений, и как массовый спорт и активный отдых Решение указанных проблем может способствовать увеличению популярности этого вида спорта в стране и росту спортивных достижений в России и мире.</w:t>
      </w:r>
      <w:r/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011"/>
        <w:gridCol w:w="8842"/>
      </w:tblGrid>
      <w:tr>
        <w:tblPrEx/>
        <w:trPr/>
        <w:tc>
          <w:tcPr>
            <w:tcW w:w="10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06730" cy="530860"/>
                      <wp:effectExtent l="0" t="0" r="0" b="0"/>
                      <wp:docPr id="33" name="Изображение11" descr="https://www.kindpng.com/picc/m/126-1261431_goals-png-clipart-goal-icon-png-transparent-pn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" name="Изображение11" descr="https://www.kindpng.com/picc/m/126-1261431_goals-png-clipart-goal-icon-png-transparent-png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06730" cy="5308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width:39.90pt;height:41.8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  <w:tc>
          <w:tcPr>
            <w:shd w:val="clear" w:color="auto" w:fill="c6d9f1" w:themeFill="text2" w:themeFillTint="33"/>
            <w:tcW w:w="884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  <w:t xml:space="preserve">Раздел 4.</w:t>
            </w: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pPr>
            <w:r>
              <w:rPr>
                <w:rFonts w:ascii="Arial Narrow" w:hAnsi="Arial Narrow" w:eastAsia="Noto Sans CJK SC" w:cs="Noto Sans CJK SC"/>
                <w:b/>
                <w:color w:val="262626"/>
                <w:sz w:val="32"/>
                <w:szCs w:val="32"/>
              </w:rPr>
              <w:t xml:space="preserve">Цели, задачи и риски развития скалолазания на период до 2032г.</w:t>
            </w:r>
            <w:r>
              <w:rPr>
                <w:rFonts w:ascii="Arial Narrow" w:hAnsi="Arial Narrow" w:eastAsia="Noto Sans CJK SC" w:cs="Noto Sans CJK SC"/>
                <w:color w:val="262626"/>
                <w:sz w:val="32"/>
                <w:szCs w:val="32"/>
              </w:rPr>
            </w:r>
          </w:p>
        </w:tc>
      </w:tr>
    </w:tbl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Цели и задачи развития скалолазания в России учитывают внутрироссийские и международные стратегические ориентиры в ключевых направлениях деятельности ФСР.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</w:rPr>
      </w:pPr>
      <w:r>
        <w:rPr>
          <w:rFonts w:ascii="Arial Narrow" w:hAnsi="Arial Narrow"/>
          <w:b/>
          <w:color w:val="002060"/>
          <w:sz w:val="28"/>
          <w:szCs w:val="28"/>
        </w:rPr>
        <w:t xml:space="preserve">На международном уровне</w: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стратегических документах </w:t>
      </w:r>
      <w:r>
        <w:rPr>
          <w:rFonts w:ascii="Arial Narrow" w:hAnsi="Arial Narrow"/>
          <w:b/>
          <w:sz w:val="28"/>
          <w:szCs w:val="28"/>
        </w:rPr>
        <w:t xml:space="preserve">Международной федерации спортивного скалолазания</w:t>
      </w:r>
      <w:r>
        <w:rPr>
          <w:rFonts w:ascii="Arial Narrow" w:hAnsi="Arial Narrow"/>
          <w:sz w:val="28"/>
          <w:szCs w:val="28"/>
        </w:rPr>
        <w:t xml:space="preserve"> (англ. International Federation </w:t>
      </w:r>
      <w:r>
        <w:rPr>
          <w:rFonts w:ascii="Arial Narrow" w:hAnsi="Arial Narrow"/>
          <w:sz w:val="28"/>
          <w:szCs w:val="28"/>
        </w:rPr>
        <w:t xml:space="preserve">of</w:t>
      </w:r>
      <w:r>
        <w:rPr>
          <w:rFonts w:ascii="Arial Narrow" w:hAnsi="Arial Narrow"/>
          <w:sz w:val="28"/>
          <w:szCs w:val="28"/>
        </w:rPr>
        <w:t xml:space="preserve"> Sport </w:t>
      </w:r>
      <w:r>
        <w:rPr>
          <w:rFonts w:ascii="Arial Narrow" w:hAnsi="Arial Narrow"/>
          <w:sz w:val="28"/>
          <w:szCs w:val="28"/>
        </w:rPr>
        <w:t xml:space="preserve">Climbing</w:t>
      </w:r>
      <w:r>
        <w:rPr>
          <w:rFonts w:ascii="Arial Narrow" w:hAnsi="Arial Narrow"/>
          <w:sz w:val="28"/>
          <w:szCs w:val="28"/>
        </w:rPr>
        <w:t xml:space="preserve">, сокр. IFSC) в качестве </w:t>
      </w:r>
      <w:r>
        <w:rPr>
          <w:rFonts w:ascii="Arial Narrow" w:hAnsi="Arial Narrow"/>
          <w:b/>
          <w:sz w:val="28"/>
          <w:szCs w:val="28"/>
        </w:rPr>
        <w:t xml:space="preserve">ключевых целей</w:t>
      </w:r>
      <w:r>
        <w:rPr>
          <w:rFonts w:ascii="Arial Narrow" w:hAnsi="Arial Narrow"/>
          <w:sz w:val="28"/>
          <w:szCs w:val="28"/>
        </w:rPr>
        <w:t xml:space="preserve"> указаны следующие: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</w:pPr>
      <w:r>
        <w:rPr>
          <w:rFonts w:ascii="Arial Narrow" w:hAnsi="Arial Narrow"/>
          <w:sz w:val="28"/>
          <w:szCs w:val="28"/>
        </w:rPr>
        <w:t xml:space="preserve">1. Демонстрация спортивного скалолазания с помощью мероприятий</w:t>
      </w:r>
      <w:r/>
    </w:p>
    <w:p>
      <w:pPr>
        <w:jc w:val="both"/>
        <w:spacing w:after="0"/>
      </w:pPr>
      <w:r>
        <w:rPr>
          <w:rFonts w:ascii="Arial Narrow" w:hAnsi="Arial Narrow"/>
          <w:sz w:val="28"/>
          <w:szCs w:val="28"/>
        </w:rPr>
        <w:t xml:space="preserve">2. Развитие спортивного скалолазания</w:t>
      </w:r>
      <w:r/>
    </w:p>
    <w:p>
      <w:pPr>
        <w:jc w:val="both"/>
        <w:spacing w:after="0"/>
      </w:pPr>
      <w:r>
        <w:rPr>
          <w:rFonts w:ascii="Arial Narrow" w:hAnsi="Arial Narrow"/>
          <w:sz w:val="28"/>
          <w:szCs w:val="28"/>
        </w:rPr>
        <w:t xml:space="preserve">3. Укрепление членского состава и управления</w:t>
      </w:r>
      <w:r/>
    </w:p>
    <w:p>
      <w:pPr>
        <w:jc w:val="both"/>
        <w:spacing w:after="0"/>
      </w:pPr>
      <w:r>
        <w:rPr>
          <w:rFonts w:ascii="Arial Narrow" w:hAnsi="Arial Narrow"/>
          <w:sz w:val="28"/>
          <w:szCs w:val="28"/>
        </w:rPr>
        <w:t xml:space="preserve">4. Повышение узнаваемости бренда IFSC</w:t>
      </w:r>
      <w:r/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5. Продвижение спортивного скалолазания во всем мире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</w:rPr>
      </w:pPr>
      <w:r>
        <w:rPr>
          <w:rFonts w:ascii="Arial Narrow" w:hAnsi="Arial Narrow"/>
          <w:b/>
          <w:color w:val="002060"/>
          <w:sz w:val="28"/>
          <w:szCs w:val="28"/>
        </w:rPr>
        <w:t xml:space="preserve">На национальном уровне</w: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Целью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Стратегии развития физкультуры и спорта в Российской Федерации</w:t>
      </w:r>
      <w:r>
        <w:rPr>
          <w:rFonts w:ascii="Arial Narrow" w:hAnsi="Arial Narrow"/>
          <w:sz w:val="28"/>
          <w:szCs w:val="28"/>
        </w:rPr>
        <w:t xml:space="preserve"> является формирование приоритетов государственной политики в сфере физической культуры и спорта, основных направлений и механизмов, способствующих созданию условий, обеспечивающих равные</w:t>
      </w:r>
      <w:r>
        <w:rPr>
          <w:rFonts w:ascii="Arial Narrow" w:hAnsi="Arial Narrow"/>
          <w:sz w:val="28"/>
          <w:szCs w:val="28"/>
        </w:rPr>
        <w:t xml:space="preserve"> возможности гражданам страны вести здоровый образ жизни, систематически заниматься физической культурой и спортом, и способствующих повышению конкурентоспособности российского спорта. Перечень приоритетных направлений указан в Разделе 1 данного документа.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</w:rPr>
      </w:pPr>
      <w:r>
        <w:rPr>
          <w:rFonts w:ascii="Arial Narrow" w:hAnsi="Arial Narrow"/>
          <w:b/>
          <w:color w:val="002060"/>
          <w:sz w:val="28"/>
          <w:szCs w:val="28"/>
        </w:rPr>
        <w:t xml:space="preserve">На уровне ФСР</w: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Уставом ФСР выделены две главные цели: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2.1.1.</w:t>
      </w:r>
      <w:r>
        <w:rPr>
          <w:rFonts w:ascii="Arial Narrow" w:hAnsi="Arial Narrow"/>
          <w:sz w:val="28"/>
          <w:szCs w:val="28"/>
        </w:rPr>
        <w:t xml:space="preserve"> Всестороннее развитие и популяризация скалолазания в Российской Федерации и на международном уровне.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2.1.2.</w:t>
      </w:r>
      <w:r>
        <w:rPr>
          <w:rFonts w:ascii="Arial Narrow" w:hAnsi="Arial Narrow"/>
          <w:sz w:val="28"/>
          <w:szCs w:val="28"/>
        </w:rPr>
        <w:t xml:space="preserve"> Повышение роли скалолазания в гармоничном развитии личности, формировании здорового образа жизни, укреплении здоровья граждан.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2.2.</w:t>
      </w:r>
      <w:r>
        <w:rPr>
          <w:rFonts w:ascii="Arial Narrow" w:hAnsi="Arial Narrow"/>
          <w:sz w:val="28"/>
          <w:szCs w:val="28"/>
        </w:rPr>
        <w:t xml:space="preserve">  Для реализации уставных целей Федерация решает следующие </w:t>
      </w:r>
      <w:r>
        <w:rPr>
          <w:rFonts w:ascii="Arial Narrow" w:hAnsi="Arial Narrow"/>
          <w:b/>
          <w:sz w:val="28"/>
          <w:szCs w:val="28"/>
        </w:rPr>
        <w:t xml:space="preserve">задачи</w:t>
      </w:r>
      <w:r>
        <w:rPr>
          <w:rFonts w:ascii="Arial Narrow" w:hAnsi="Arial Narrow"/>
          <w:sz w:val="28"/>
          <w:szCs w:val="28"/>
        </w:rPr>
        <w:t xml:space="preserve">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2.2.1. Развивает скалолазание как спорт высших достижений, направленный на достижение спортсменами высоких спортивных результатов на официальных всероссийских и официальных международных спортивных соревнованиях.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2.2.2. Содействует реализации федеральных целевых программ в области физической культуры и спорта в Российской Федерации в части развития скалолазания, разрабатывает и реализует иные программы развития скалолазания.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2.2.3. Осуществляет организационную и финансовую поддержку проектам и программам в области спорта высших достижений.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2.2.4. Содействует развитию массового скалолазания в России и совершенствованию форм организации данного вида спорта (дни скалолазания, фестивали по скалолазанию, мастер-классы и иные спортивные мероприятия).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2.2.5. Осуществляет всемерное развитие скалолазания среди детей и молодёжи, студенчества, содействие расши</w:t>
      </w:r>
      <w:r>
        <w:rPr>
          <w:rFonts w:ascii="Arial Narrow" w:hAnsi="Arial Narrow"/>
          <w:sz w:val="28"/>
          <w:szCs w:val="28"/>
        </w:rPr>
        <w:t xml:space="preserve">рению сети специализированных детско-юношеских школ олимпийского резерва и детско-юношеских спортивных школ по скалолазанию, училищ олимпийского резерва по скалолазанию, центров спортивной подготовки, клубов и иных образовательных учреждений по скалолазани</w:t>
      </w:r>
      <w:r>
        <w:rPr>
          <w:rFonts w:ascii="Arial Narrow" w:hAnsi="Arial Narrow"/>
          <w:sz w:val="28"/>
          <w:szCs w:val="28"/>
        </w:rPr>
        <w:t xml:space="preserve">ю, осуществляющих учебно-тренировочный процесс, содействие иным физкультурно-спортивным организациям, содействие строительству и реконструкции объектов спорта по скалолазанию, а также подготовке спортсменов спортивных сборных команд России по скалолазанию.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2.2.6. Содействует развитию спортивных международных связей России по скалолазанию, укреплению связей со спортивными международными организациями по скалолазанию.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2.2.7. Представляет российское скалолазание на международной арене, участвует в российских и международных спортивных мероприятиях и спортивных соревнованиях по скалолазанию.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2.2.8. Осуществляет меры по содействию и созданию условий для занятий скалолазанием для лиц с ограниченными физическими возможностями и инвалидов.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28"/>
        <w:gridCol w:w="8725"/>
      </w:tblGrid>
      <w:tr>
        <w:tblPrEx/>
        <w:trPr/>
        <w:tc>
          <w:tcPr>
            <w:tcW w:w="11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9755" cy="556260"/>
                      <wp:effectExtent l="0" t="0" r="0" b="0"/>
                      <wp:docPr id="34" name="Изображение12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" name="Изображение12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9755" cy="556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" o:spid="_x0000_s38" type="#_x0000_t75" style="width:45.65pt;height:43.8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872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Calibri"/>
                <w:i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Данные опроса респондентов</w:t>
            </w:r>
            <w:r>
              <w:rPr>
                <w:rFonts w:ascii="Arial Narrow" w:hAnsi="Arial Narrow" w:eastAsia="Calibri"/>
                <w:i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 w:eastAsia="Calibri"/>
                <w:i/>
                <w:sz w:val="28"/>
                <w:szCs w:val="28"/>
              </w:rPr>
            </w:pPr>
            <w:r>
              <w:rPr>
                <w:rFonts w:ascii="Arial Narrow" w:hAnsi="Arial Narrow" w:eastAsia="Calibri"/>
                <w:i/>
                <w:sz w:val="28"/>
                <w:szCs w:val="28"/>
              </w:rPr>
            </w:r>
            <w:r>
              <w:rPr>
                <w:rFonts w:ascii="Arial Narrow" w:hAnsi="Arial Narrow" w:eastAsia="Calibri"/>
                <w:i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2679700"/>
                <wp:effectExtent l="0" t="0" r="0" b="0"/>
                <wp:docPr id="35" name="Изображение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Изображение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rcRect l="0" t="0" r="0" b="6200"/>
                        <a:stretch/>
                      </pic:blipFill>
                      <pic:spPr bwMode="auto">
                        <a:xfrm>
                          <a:off x="0" y="0"/>
                          <a:ext cx="6115050" cy="2679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81.50pt;height:211.00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color w:val="002060"/>
          <w:sz w:val="28"/>
          <w:szCs w:val="28"/>
        </w:rPr>
        <w:t xml:space="preserve">Стратегические ориентиры</w:t>
      </w:r>
      <w:r>
        <w:rPr>
          <w:rFonts w:ascii="Arial Narrow" w:hAnsi="Arial Narrow"/>
          <w:color w:val="002060"/>
          <w:sz w:val="28"/>
          <w:szCs w:val="28"/>
        </w:rPr>
        <w:t xml:space="preserve"> </w:t>
      </w:r>
      <w:r>
        <w:rPr>
          <w:rFonts w:ascii="Arial Narrow" w:hAnsi="Arial Narrow"/>
          <w:b/>
          <w:color w:val="002060"/>
          <w:sz w:val="28"/>
          <w:szCs w:val="28"/>
        </w:rPr>
        <w:t xml:space="preserve">развития скалолазания в России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b/>
          <w:color w:val="002060"/>
          <w:sz w:val="28"/>
          <w:szCs w:val="28"/>
        </w:rPr>
        <w:t xml:space="preserve">в горизонте 2032 г.</w:t>
      </w:r>
      <w:r>
        <w:rPr>
          <w:rFonts w:ascii="Arial Narrow" w:hAnsi="Arial Narrow"/>
          <w:color w:val="002060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рассматриваются с учетом международных и федеральных целей, формируют общее видение, определяют ключевые направления и приоритетные задачи, необходимые для достижения поставленных целей и развития скалолазания в стране.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3835" cy="213360"/>
                <wp:effectExtent l="0" t="0" r="0" b="0"/>
                <wp:docPr id="36" name="Изображение14" descr="https://www.kindpng.com/picc/m/126-1261431_goals-png-clipart-goal-icon-png-transparent-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Изображение14" descr="https://www.kindpng.com/picc/m/126-1261431_goals-png-clipart-goal-icon-png-transparent-png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203835" cy="213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16.05pt;height:16.80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color w:val="002060"/>
          <w:sz w:val="28"/>
          <w:szCs w:val="28"/>
        </w:rPr>
        <w:t xml:space="preserve">Стратегические цели и задачи ФСР</w: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Для реализации целей всех уровней,</w:t>
      </w:r>
      <w:r>
        <w:rPr>
          <w:rFonts w:ascii="Arial Narrow" w:hAnsi="Arial Narrow"/>
          <w:sz w:val="28"/>
          <w:szCs w:val="28"/>
        </w:rPr>
        <w:t xml:space="preserve"> необходимо продолжить решение конкретных задач по следующим направлениям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  <w:t xml:space="preserve"> </w:t>
      </w:r>
      <w:r>
        <w:rPr>
          <w:rFonts w:ascii="Arial Narrow" w:hAnsi="Arial Narrow"/>
          <w:color w:val="ff000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  <w:u w:val="single"/>
        </w:rPr>
      </w:pPr>
      <w:r>
        <w:rPr>
          <w:rFonts w:ascii="Arial Narrow" w:hAnsi="Arial Narrow"/>
          <w:b/>
          <w:color w:val="002060"/>
          <w:sz w:val="28"/>
          <w:szCs w:val="28"/>
          <w:u w:val="single"/>
        </w:rPr>
        <w:t xml:space="preserve">На международном уровне </w:t>
      </w:r>
      <w:r>
        <w:rPr>
          <w:rFonts w:ascii="Arial Narrow" w:hAnsi="Arial Narrow"/>
          <w:b/>
          <w:color w:val="002060"/>
          <w:sz w:val="28"/>
          <w:szCs w:val="28"/>
          <w:u w:val="single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</w:r>
      <w:r>
        <w:rPr>
          <w:rFonts w:ascii="Arial Narrow" w:hAnsi="Arial Narrow"/>
          <w:b/>
          <w:sz w:val="28"/>
          <w:szCs w:val="28"/>
          <w:u w:val="single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Цели: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24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1. Стать одним из лидеров мирового спортивного движения путем достижения высоких спортивных результатов, создания современной инфраструктуры и проведения мероприятий высочайшего качества.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24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 Продвигать скалолазание по всему миру в сотрудничестве с международной федерацией, национальными федерациями скалолазания и другими международными организациями.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24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240" w:line="276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Задачи: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Международное сотрудничество: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возобновить участие российских спортсменов в международных соревнованиях без дополнительных условий;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восстановить членство ФСР в IFSC;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возобновить работу в структурах IFSC представителей ФСР, чья деятельность в этих структурах на данный момент приостановлена.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увеличить  количество</w:t>
      </w:r>
      <w:r>
        <w:rPr>
          <w:rFonts w:ascii="Arial Narrow" w:hAnsi="Arial Narrow"/>
          <w:sz w:val="28"/>
          <w:szCs w:val="28"/>
        </w:rPr>
        <w:t xml:space="preserve">  представителей ФСР в структурах IFSC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взаимодействовать и сотрудничать с IFSC и национальными федерациями скалолазания;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обмениваться опытом с другими странами и федерациями, проводить совместные мероприятий и пр.;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сеть контактов в международной спортивной среде на всех уровнях.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Спорт высших достижений: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способствовать активному участию российских спортсменов в международных соревнованиях и Олимпийских Играх;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способствовать достижению российскими спортсменами лидирующих позиций в мировом спорте;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выстроить и модифицировать систему подготовки спортсменов с учетом возможности возвращения к участию в международных соревнованиях;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регулярно проводить открытые всероссийские и международные спортивные соревнования в России, повышать качество организации и проведения;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возобновить проведение официальных международных соревнований под эгидой </w:t>
      </w:r>
      <w:r>
        <w:rPr>
          <w:rFonts w:ascii="Arial Narrow" w:hAnsi="Arial Narrow"/>
          <w:sz w:val="28"/>
          <w:szCs w:val="28"/>
          <w:lang w:val="en-US"/>
        </w:rPr>
        <w:t xml:space="preserve">IFSC</w:t>
      </w:r>
      <w:r>
        <w:rPr>
          <w:rFonts w:ascii="Arial Narrow" w:hAnsi="Arial Narrow"/>
          <w:sz w:val="28"/>
          <w:szCs w:val="28"/>
        </w:rPr>
        <w:t xml:space="preserve">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Массовый спорт: 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</w:t>
      </w:r>
      <w:r>
        <w:rPr>
          <w:rFonts w:ascii="Arial Narrow" w:hAnsi="Arial Narrow"/>
          <w:sz w:val="28"/>
          <w:szCs w:val="28"/>
        </w:rPr>
        <w:t xml:space="preserve"> и поддерживать сотрудничество с </w:t>
      </w:r>
      <w:r>
        <w:rPr>
          <w:rFonts w:ascii="Arial Narrow" w:hAnsi="Arial Narrow"/>
          <w:sz w:val="28"/>
          <w:szCs w:val="28"/>
        </w:rPr>
        <w:t xml:space="preserve">IFSC</w:t>
      </w:r>
      <w:r>
        <w:rPr>
          <w:rFonts w:ascii="Arial Narrow" w:hAnsi="Arial Narrow"/>
          <w:sz w:val="28"/>
          <w:szCs w:val="28"/>
        </w:rPr>
        <w:t xml:space="preserve"> и национальными федерациями скалолазания в проведении массовых мероприятий в России и других странах с целью продвижения и популяризации скалолазания.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Инфраструктура</w:t>
      </w:r>
      <w:r>
        <w:rPr>
          <w:rFonts w:ascii="Arial Narrow" w:hAnsi="Arial Narrow"/>
          <w:i/>
          <w:sz w:val="28"/>
          <w:szCs w:val="28"/>
        </w:rPr>
        <w:t xml:space="preserve">: 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обеспечение соответствия российской инфраструктуры скалолазания мировым стандартам;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способствовать развитию производства качественного оборудования, инвентаря для скалолазания в России;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содействовать выходу российских производителей оборудования для скалолазания на внешний рынок.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Популяризация скалолазания: 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продвигать российское скалолазание и ФСР как сильные узнаваемые бренды в международной спортивной среде. 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Финансирование и спонсорство: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обеспечивать поддержку сборных команд России при их подготовке и участии в международных соревнованиях;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обеспечивать стабильное финансирование мероприятий, проектов и другой деятельности по продвижению российского скалолазания и бренда ФСР на мировой арене.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Подготовка кадров: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вести подготовку специалистов (тренеров, судей и др.) мирового уровня в области скалолазания;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участвовать в разработке и совершенствовании требований к специалистам и стандартов их подготовки;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обеспечивать подготовку сотрудников ФСР в области международного спортивного менеджмента;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обеспечивать регулярное повышение квалификации сотрудников ФСР и специалистов (тренеров, судей и др.).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Безопасность и стандарты: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соблюдать международные требования и стандарты (включая антидопинговые).;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участвовать в их разработке и совершенствовании.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Исследования</w:t>
      </w:r>
      <w:r>
        <w:rPr>
          <w:rFonts w:ascii="Arial Narrow" w:hAnsi="Arial Narrow"/>
          <w:i/>
          <w:sz w:val="28"/>
          <w:szCs w:val="28"/>
        </w:rPr>
        <w:t xml:space="preserve"> </w:t>
      </w:r>
      <w:r>
        <w:rPr>
          <w:rFonts w:ascii="Arial" w:hAnsi="Arial" w:cs="Arial"/>
          <w:i/>
          <w:sz w:val="28"/>
          <w:szCs w:val="28"/>
        </w:rPr>
        <w:t xml:space="preserve">и</w:t>
      </w:r>
      <w:r>
        <w:rPr>
          <w:rFonts w:ascii="Arial Narrow" w:hAnsi="Arial Narrow"/>
          <w:i/>
          <w:sz w:val="28"/>
          <w:szCs w:val="28"/>
        </w:rPr>
        <w:t xml:space="preserve"> </w:t>
      </w:r>
      <w:r>
        <w:rPr>
          <w:rFonts w:ascii="Arial" w:hAnsi="Arial" w:cs="Arial"/>
          <w:i/>
          <w:sz w:val="28"/>
          <w:szCs w:val="28"/>
        </w:rPr>
        <w:t xml:space="preserve">развитие</w:t>
      </w:r>
      <w:r>
        <w:rPr>
          <w:rFonts w:ascii="Arial Narrow" w:hAnsi="Arial Narrow"/>
          <w:i/>
          <w:sz w:val="28"/>
          <w:szCs w:val="28"/>
        </w:rPr>
        <w:t xml:space="preserve"> </w:t>
      </w:r>
      <w:r>
        <w:rPr>
          <w:rFonts w:ascii="Arial" w:hAnsi="Arial" w:cs="Arial"/>
          <w:i/>
          <w:sz w:val="28"/>
          <w:szCs w:val="28"/>
        </w:rPr>
        <w:t xml:space="preserve">научного</w:t>
      </w:r>
      <w:r>
        <w:rPr>
          <w:rFonts w:ascii="Arial Narrow" w:hAnsi="Arial Narrow"/>
          <w:i/>
          <w:sz w:val="28"/>
          <w:szCs w:val="28"/>
        </w:rPr>
        <w:t xml:space="preserve"> </w:t>
      </w:r>
      <w:r>
        <w:rPr>
          <w:rFonts w:ascii="Arial" w:hAnsi="Arial" w:cs="Arial"/>
          <w:i/>
          <w:sz w:val="28"/>
          <w:szCs w:val="28"/>
        </w:rPr>
        <w:t xml:space="preserve">обеспечения</w:t>
      </w:r>
      <w:r>
        <w:rPr>
          <w:rFonts w:ascii="Arial Narrow" w:hAnsi="Arial Narrow"/>
          <w:i/>
          <w:sz w:val="28"/>
          <w:szCs w:val="28"/>
        </w:rPr>
        <w:t xml:space="preserve">: 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участвовать в международном научном сотрудничестве (проекты, исследования, конференции);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реализовывать обмен передовым опытом научно-практических разработок с мировым сообществом.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Социальная ответственность: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продвигать спортивные ценности, высокие этические стандарты и бороться с дискриминацией по любым признакам на мировом уровне;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поддерживать принципы устойчивости экологических, социальных и пр. сферах с целью сохранения ресурсов, культуры, </w:t>
      </w:r>
      <w:r>
        <w:rPr>
          <w:rFonts w:ascii="Arial Narrow" w:hAnsi="Arial Narrow"/>
          <w:sz w:val="28"/>
          <w:szCs w:val="28"/>
        </w:rPr>
        <w:t xml:space="preserve">ценностей и</w:t>
      </w:r>
      <w:r>
        <w:rPr>
          <w:rFonts w:ascii="Arial Narrow" w:hAnsi="Arial Narrow"/>
          <w:sz w:val="28"/>
          <w:szCs w:val="28"/>
        </w:rPr>
        <w:t xml:space="preserve"> пр. для будущих поколений.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Система управления: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продвигать российских представителей в международные спортивные структуры;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повышать квалификацию представителей (и кандидатов в представители) в областях спортивной дипломатии, переговоров, самопрезентации, лидерских и управленческих качеств и других необходимых направлениях.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Цифровая трансформация</w:t>
      </w:r>
      <w:r>
        <w:rPr>
          <w:rFonts w:ascii="Arial Narrow" w:hAnsi="Arial Narrow"/>
          <w:sz w:val="28"/>
          <w:szCs w:val="28"/>
        </w:rPr>
        <w:t xml:space="preserve">: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анализировать мировые тренды цифровизации, внедрять наиболее актуальные и перспективные модели в свои стратегические направления.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</w:r>
      <w:r>
        <w:rPr>
          <w:rFonts w:ascii="Arial Narrow" w:hAnsi="Arial Narrow"/>
          <w:b/>
          <w:sz w:val="28"/>
          <w:szCs w:val="28"/>
          <w:u w:val="single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  <w:u w:val="single"/>
        </w:rPr>
      </w:pPr>
      <w:r>
        <w:rPr>
          <w:rFonts w:ascii="Arial Narrow" w:hAnsi="Arial Narrow"/>
          <w:b/>
          <w:color w:val="002060"/>
          <w:sz w:val="28"/>
          <w:szCs w:val="28"/>
          <w:u w:val="single"/>
        </w:rPr>
        <w:t xml:space="preserve">На национальном уровне</w:t>
      </w:r>
      <w:r>
        <w:rPr>
          <w:rFonts w:ascii="Arial Narrow" w:hAnsi="Arial Narrow"/>
          <w:b/>
          <w:color w:val="002060"/>
          <w:sz w:val="28"/>
          <w:szCs w:val="28"/>
          <w:u w:val="single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</w:r>
      <w:r>
        <w:rPr>
          <w:rFonts w:ascii="Arial Narrow" w:hAnsi="Arial Narrow"/>
          <w:b/>
          <w:sz w:val="28"/>
          <w:szCs w:val="28"/>
          <w:u w:val="single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Цели: 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1. Формировать сильные сборные команды России, готовить их к победам в мировых </w:t>
      </w:r>
      <w:r>
        <w:rPr>
          <w:rFonts w:ascii="Arial Narrow" w:hAnsi="Arial Narrow"/>
          <w:sz w:val="28"/>
          <w:szCs w:val="28"/>
        </w:rPr>
        <w:t xml:space="preserve">соревнованиях, выявлять и поддерживать перспективных талантливых спортсменов.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 Вывести скалолазание в топ 20 видов спорта и физической активности в России по числу занимающихся в соответствии со статистикой Минспорта РФ.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 Содействовать</w:t>
      </w:r>
      <w:r>
        <w:rPr>
          <w:rFonts w:ascii="Arial Narrow" w:hAnsi="Arial Narrow"/>
          <w:sz w:val="28"/>
          <w:szCs w:val="28"/>
        </w:rPr>
        <w:t xml:space="preserve"> созданию необходимого числа современных и качественных скалодромов для скалолазов всех возрастов и групп населения.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4. Популяризировать скалолазание посредством массовых мероприятий и проектов, содействуя укреплению здоровья нации.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</w:r>
      <w:r>
        <w:rPr>
          <w:rFonts w:ascii="Arial Narrow" w:hAnsi="Arial Narrow"/>
          <w:b/>
          <w:sz w:val="16"/>
          <w:szCs w:val="16"/>
        </w:rPr>
      </w:r>
    </w:p>
    <w:p>
      <w:pPr>
        <w:pStyle w:val="1247"/>
        <w:ind w:left="0"/>
        <w:jc w:val="both"/>
        <w:spacing w:before="240" w:line="276" w:lineRule="auto"/>
        <w:tabs>
          <w:tab w:val="left" w:pos="284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Задачи: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Внутрироссийское сотрудничество: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содействовать реализации национальных проектов и федеральных целевых программ в области спорта;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разрабатывать и реализовывать программы по развитию скалолазания в России;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увеличение количества членов ФСР </w:t>
      </w:r>
      <w:r>
        <w:rPr>
          <w:rFonts w:ascii="Arial Narrow" w:hAnsi="Arial Narrow"/>
          <w:sz w:val="28"/>
          <w:szCs w:val="28"/>
        </w:rPr>
        <w:t xml:space="preserve">и  регионов</w:t>
      </w:r>
      <w:r>
        <w:rPr>
          <w:rFonts w:ascii="Arial Narrow" w:hAnsi="Arial Narrow"/>
          <w:sz w:val="28"/>
          <w:szCs w:val="28"/>
        </w:rPr>
        <w:t xml:space="preserve"> развивающих скалолазание;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усиливать взаимодействовать с региональными федерациями скалолазания;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партнерские отношения с государственными органами управления и общественными организациями в сфере спорта.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Спорт высших достижений: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систему подготовки спортсменов сборных команд России по скалолазанию;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проводить национальные соревнования на высоком уровне;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содействовать организации межрегиональных и региональных соревнований;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участвовать в подготовке резерва, выявлять перспективных спортсменов и содействовать их спортивному росту.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Массовый спорт: 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увеличивать количество занимающихся через развитие инфраструктуры, подготовку кадров, массовые мероприятия, популяризацию скалолазания;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детско-юношеское, студенческое, корпоративное, адаптивное и другие направления скалолазания;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способствовать включению скалолазания в программу общеобразовательных школ и ВУЗов.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 w:firstLine="709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Инфраструктура: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содействовать строительству современных скалодромов и центров скалолазания с учетом </w:t>
      </w:r>
      <w:r>
        <w:rPr>
          <w:rFonts w:ascii="Arial Narrow" w:hAnsi="Arial Narrow"/>
          <w:sz w:val="28"/>
          <w:szCs w:val="28"/>
        </w:rPr>
        <w:t xml:space="preserve">потребностей регионов</w:t>
      </w:r>
      <w:r>
        <w:rPr>
          <w:rFonts w:ascii="Arial Narrow" w:hAnsi="Arial Narrow"/>
          <w:sz w:val="28"/>
          <w:szCs w:val="28"/>
        </w:rPr>
        <w:t xml:space="preserve"> России в сотрудничестве с государственными и негосударственными организациями в сфере спорта;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способствовать модернизации имеющихся скалодромов и</w:t>
      </w:r>
      <w:r>
        <w:rPr>
          <w:rFonts w:ascii="Arial Narrow" w:hAnsi="Arial Narrow"/>
          <w:sz w:val="28"/>
          <w:szCs w:val="28"/>
        </w:rPr>
        <w:t xml:space="preserve"> оборудования;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содействовать развитию скальных районов и сопутствующей инфраструктуры в регионах;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Популяризация скалолазания: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продвигать скалолазание через средства массовой информации и социальные сети и др. медийные площадки;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повышать зрелищность и массовость фестивалей, соревнований и других мероприятий по скалолазанию;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проводить информационные кампании, акции для привлечения и вовлечения новых любителей и болельщиков;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участвовать в крупных промо-мероприятиях, форумах федерального и регионального значения;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повышать узнаваемость бренда ФСР на федеральном уровне.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Финансирование и спонсорство: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709" w:hanging="709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системы привлечения внебюджетных (не государственных) средств (спонсоры, пожертвования, членские взносы, гранты);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709" w:hanging="709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разработку системы взаимодействия между коммерческими скалодромами и региональными федерациями;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709" w:hanging="709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усиление работы по увеличению государственного финансирования;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709" w:hanging="709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расширение системы коммерческой деятельности, продуктов, материальных ресурсов.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Подготовка кадров: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систему спортивного образования в скалолазании;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совершенствовать систему подготовки квалифицированных тренеров, судей, спортивных менеджеров, подготовщиков трасс и других специалистов в области скалолазания;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увеличить количество квалифицированных специалистов в области скалолазания;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разрабатывать и реализовывать специальные программы по переподготовке</w:t>
      </w:r>
      <w:r>
        <w:rPr>
          <w:rFonts w:ascii="Arial Narrow" w:hAnsi="Arial Narrow"/>
          <w:sz w:val="28"/>
          <w:szCs w:val="28"/>
        </w:rPr>
        <w:t xml:space="preserve"> спортсменов, завершивших соревновательную деятельность, и программ, </w:t>
      </w:r>
      <w:r>
        <w:rPr>
          <w:rFonts w:ascii="Arial Narrow" w:hAnsi="Arial Narrow"/>
          <w:sz w:val="28"/>
          <w:szCs w:val="28"/>
        </w:rPr>
        <w:t xml:space="preserve">способствующих профориентации действующих спортсменов, с целью поддержки спортсменов и повышения их благополучия, снижения дефицита кадров и создания кадрового резерва тренерского состава и управленческого звена;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регулярно повышать квалификацию сотрудников ФСР;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разрабатывать и реализовывать   специальные программы повышения квалификации для сотрудников региональных федераций по различным направлениям работы (GR, работа со спонсорами, маркетинг и продажи и пр.).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Безопасность и стандарты: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способствовать повышению безопасности при занятиях скалолазанием;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активно участвовать в разработке национальных стандартов и нормативно-правовой базы;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разрабатывать стандарты ФСР (включая стандарты безопасности на скалодромах и скалах);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контролировать соблюдение антидопинговых требований;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проводить информационную работу в сфере антидопинга с целью повышения информированности спортсменов, тренеров и др. специалистов и продвижения принципов противодействия допингу в спорте.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Исследования и развитие научного обеспечения: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поддерживать научные и практические исследования в области скалолазания, включая новые техники, оборудование и методики обучения;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взаимодействовать с научно-образовательными учреждениями с целью участия в исследованиях, разработки образовательных программ и методик;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проводить мероприятия, направленные на обмен опытом, получение обратной связи и генерацию идей всеми участниками российского скалолазного сообщества (форумы, круглые столы, семинары и т. п.);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организовать систему научно-методического взаимодействия и метод</w:t>
      </w:r>
      <w:r>
        <w:rPr>
          <w:rFonts w:ascii="Arial Narrow" w:hAnsi="Arial Narrow"/>
          <w:sz w:val="28"/>
          <w:szCs w:val="28"/>
        </w:rPr>
        <w:t xml:space="preserve">ическую</w:t>
      </w:r>
      <w:r>
        <w:rPr>
          <w:rFonts w:ascii="Arial Narrow" w:hAnsi="Arial Narrow"/>
          <w:sz w:val="28"/>
          <w:szCs w:val="28"/>
        </w:rPr>
        <w:t xml:space="preserve"> поддержку региональных федераций.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Социальная ответственность: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продвигать спортивные и социальные ценности, высокие этические стандарты на федеральном уровне;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продвигать ценности ФСР на всех уровнях;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формировать условия для занятий скалолазанием для лиц с ограниченными физическими возможностями;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соблюдать экологические стандарты и принципы сохранения природы и ее восстановления после активностей скалолазов.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Система управления: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и внедрить бизнес-модель ФСР;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изучать и применять лучшие практики управления для развития скалолазания в России;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планомерно развивать систему управления ФСР с целью повышения эффективности работы;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создать системы мониторинга, обратной связи, оценки благополучия, вовлеченности и эффективности.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Цифровая трансформация</w:t>
      </w:r>
      <w:r>
        <w:rPr>
          <w:rFonts w:ascii="Arial Narrow" w:hAnsi="Arial Narrow"/>
          <w:sz w:val="28"/>
          <w:szCs w:val="28"/>
        </w:rPr>
        <w:t xml:space="preserve">: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и внедрять собственные цифровые системы;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поддерживать синхронизацию с государственной стратегией цифровой трансформации;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интегрировать информационные системы ФСР в единую цифровую платформу спортивной отрасли.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  <w:u w:val="single"/>
        </w:rPr>
      </w:pPr>
      <w:r>
        <w:rPr>
          <w:rFonts w:ascii="Arial Narrow" w:hAnsi="Arial Narrow"/>
          <w:b/>
          <w:color w:val="002060"/>
          <w:sz w:val="28"/>
          <w:szCs w:val="28"/>
          <w:u w:val="single"/>
        </w:rPr>
        <w:t xml:space="preserve">На региональном уровне</w:t>
      </w:r>
      <w:r>
        <w:rPr>
          <w:rFonts w:ascii="Arial Narrow" w:hAnsi="Arial Narrow"/>
          <w:b/>
          <w:color w:val="002060"/>
          <w:sz w:val="28"/>
          <w:szCs w:val="28"/>
          <w:u w:val="single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</w:r>
      <w:r>
        <w:rPr>
          <w:rFonts w:ascii="Arial Narrow" w:hAnsi="Arial Narrow"/>
          <w:b/>
          <w:sz w:val="28"/>
          <w:szCs w:val="28"/>
          <w:u w:val="single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Цели: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1. Готовить спортивный резерв для сборных команд по скалолазанию, развивать детско-юношеское скалолазание, создавать условия для занятий спортом на всех уровнях образования.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  Вовлекать в занятия скалолазанием</w:t>
      </w:r>
      <w:r>
        <w:rPr>
          <w:rFonts w:ascii="Arial Narrow" w:hAnsi="Arial Narrow"/>
          <w:sz w:val="28"/>
          <w:szCs w:val="28"/>
        </w:rPr>
        <w:t xml:space="preserve"> все группы населения, вести строительство и модернизацию скалодромов, развивать скалолазание на естественном рельефе, формировать комфортную и безопасную среду для занятия скалолазанием, создавать условия для лиц с ограниченными физическими возможностями.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240" w:line="276" w:lineRule="auto"/>
        <w:tabs>
          <w:tab w:val="left" w:pos="284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ind w:left="0"/>
        <w:jc w:val="both"/>
        <w:spacing w:before="240" w:line="276" w:lineRule="auto"/>
        <w:tabs>
          <w:tab w:val="left" w:pos="284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Задачи: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Региональное сотрудничество: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партнерские отношения региональных федераций с государственными органами управления и общественными организациями в сфере спорта на региональном уровне.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Спорт высших достижений: 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вести подготовку спортивного резерва;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проводить региональные соревнования;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участвовать в организации и проведении национальных и международных соревнований.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Массовый спорт: 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увеличивать число занимающихся скалолазанием, как видом спорта и активного отдыха на региональном уровне;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формировать условия для широкого доступа к скалодромам и скальным районам.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Инфраструктура: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добиваться улучшения и развития материально-технической базы (скалодромы, инвентарь и пр.);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содействовать строительству центров скалолазания;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повышать качества и доступности инфраструктуры для граждан всех возрастов и групп населения.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Популяризация скалолазания: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продвигать скалолазание через средства массовой информации;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проводить региональные фестивали, соревнования, и другие спортивно-массовые мероприятия, повышать их массовость и зрелищность;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усиливать узнаваемость бренда ФСР на региональном уровне;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бренд и репутацию региональной федерации на региональном уровне.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Финансирование и спонсорство: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привлекать финансовые ресурсы и спонсоров для развития скалолазания, подготовки спортсменов и молодежного спортивного резерва, продвижения массового скалолазания;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систему привлечения внебюджетных средств.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Подготовка кадров: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Увеличивать число сертифицированных инструкторов, тренеров, спортивных судей и других специалистов для обеспечения высококачественной подготовки</w:t>
      </w:r>
      <w:r>
        <w:rPr>
          <w:rFonts w:ascii="Arial Narrow" w:hAnsi="Arial Narrow"/>
          <w:sz w:val="28"/>
          <w:szCs w:val="28"/>
        </w:rPr>
        <w:t xml:space="preserve"> спортсменов, работы с молодежью, эффективного управления региональной федерацией и взаимодействия с региональными и федеральными стейкхолдерами.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Безопасность и стандарты: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соблюдать требования государственных стандартов и стандартов ФСР;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обеспечивать безопасные условия для занятий спортом и проведения соревнований;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проводить работу по недопущению нарушений антидопинговых правил.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Исследования и развитие научного обеспечения: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внедрять современные технологии и практики в тренировочные процессы;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участвовать в исследовательских программах, предоставлять данные для этих программ;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взаимодействовать с научно-образовательными учреждениями с целью участия в исследованиях, разработки образовательных программ и методик.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Социальная ответственность: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продвигать спортивные и социальные ценности, высокие этические стандарты на региональном уровне.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продвигать ценности ФСР на региональном уровне.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формировать условия для занятий скалолазанием для лиц с ограниченными физическими возможностями.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соблюдать экологические стандарты и принципы сохранения природы и ее восстановления после активностей скалолазов.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Система управления:</w:t>
      </w:r>
      <w:r>
        <w:rPr>
          <w:rFonts w:ascii="Arial Narrow" w:hAnsi="Arial Narrow"/>
          <w:i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бизнес-модель региональной федерации;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развивать систему деловых коммуникаций и управленческих навыков на региональном уровне;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собирать и анализировать региональные данные, относящиеся к направлениям работы региональной федерации, использовать результаты анализа для корректировки векторов развития.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b/>
          <w:i/>
          <w:color w:val="ff0000"/>
          <w:sz w:val="28"/>
          <w:szCs w:val="28"/>
        </w:rPr>
      </w:pPr>
      <w:r>
        <w:rPr>
          <w:rFonts w:ascii="Arial Narrow" w:hAnsi="Arial Narrow"/>
          <w:b/>
          <w:i/>
          <w:color w:val="ff0000"/>
          <w:sz w:val="28"/>
          <w:szCs w:val="28"/>
        </w:rPr>
      </w:r>
      <w:r>
        <w:rPr>
          <w:rFonts w:ascii="Arial Narrow" w:hAnsi="Arial Narrow"/>
          <w:b/>
          <w:i/>
          <w:color w:val="ff0000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</w:pPr>
      <w:r>
        <w:rPr>
          <w:rFonts w:ascii="Arial Narrow" w:hAnsi="Arial Narrow"/>
          <w:i/>
          <w:sz w:val="28"/>
          <w:szCs w:val="28"/>
        </w:rPr>
        <w:t xml:space="preserve">Цифровая трансформация</w:t>
      </w:r>
      <w:r>
        <w:t xml:space="preserve">:</w:t>
      </w:r>
      <w:r/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внедрять цифровые решения в практику региональных федераций;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интегрировать информационные системы региональной федерации с информационными системами ФСР и государственными платформами в сфере спорта.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27"/>
        <w:gridCol w:w="3682"/>
        <w:gridCol w:w="4802"/>
        <w:gridCol w:w="242"/>
      </w:tblGrid>
      <w:tr>
        <w:tblPrEx/>
        <w:trPr/>
        <w:tc>
          <w:tcPr>
            <w:tcW w:w="1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9755" cy="556260"/>
                      <wp:effectExtent l="0" t="0" r="0" b="0"/>
                      <wp:docPr id="37" name="Изображение15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" name="Изображение15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9755" cy="556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" o:spid="_x0000_s41" type="#_x0000_t75" style="width:45.65pt;height:43.8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gridSpan w:val="3"/>
            <w:tcW w:w="872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Данные опроса респондентов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80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 w:eastAsiaTheme="minorEastAsia"/>
                <w:b/>
                <w:i/>
                <w:color w:val="000000" w:themeColor="dark1"/>
                <w:sz w:val="24"/>
                <w:szCs w:val="24"/>
                <w:lang w:eastAsia="ru-RU"/>
              </w:rPr>
            </w:pPr>
            <w:r>
              <w:rPr>
                <w:rFonts w:ascii="Arial Narrow" w:hAnsi="Arial Narrow" w:eastAsiaTheme="minorEastAsia"/>
                <w:b/>
                <w:i/>
                <w:color w:val="000000" w:themeColor="dark1"/>
                <w:sz w:val="24"/>
                <w:szCs w:val="24"/>
                <w:lang w:eastAsia="ru-RU"/>
              </w:rPr>
            </w:r>
            <w:r>
              <w:rPr>
                <w:rFonts w:ascii="Arial Narrow" w:hAnsi="Arial Narrow" w:eastAsiaTheme="minorEastAsia"/>
                <w:b/>
                <w:i/>
                <w:color w:val="000000" w:themeColor="dark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 w:eastAsiaTheme="minorEastAsia"/>
                <w:i/>
                <w:color w:val="000000" w:themeColor="dark1"/>
                <w:sz w:val="24"/>
                <w:szCs w:val="24"/>
                <w:lang w:eastAsia="ru-RU"/>
              </w:rPr>
            </w:pPr>
            <w:r>
              <w:rPr>
                <w:rFonts w:ascii="Arial Narrow" w:hAnsi="Arial Narrow" w:cs="Arial" w:eastAsiaTheme="minorEastAsia"/>
                <w:b/>
                <w:i/>
                <w:color w:val="000000" w:themeColor="dark1"/>
                <w:sz w:val="24"/>
                <w:szCs w:val="24"/>
                <w:lang w:eastAsia="ru-RU"/>
              </w:rPr>
              <w:t xml:space="preserve">Вопрос:</w:t>
            </w:r>
            <w:r>
              <w:rPr>
                <w:rFonts w:ascii="Arial Narrow" w:hAnsi="Arial Narrow" w:cs="Arial" w:eastAsiaTheme="minorEastAsia"/>
                <w:i/>
                <w:color w:val="000000" w:themeColor="dark1"/>
                <w:sz w:val="24"/>
                <w:szCs w:val="24"/>
                <w:lang w:eastAsia="ru-RU"/>
              </w:rPr>
              <w:t xml:space="preserve"> Какие ключевые риски существуют для развития скалолазания в России?</w:t>
            </w:r>
            <w:r>
              <w:rPr>
                <w:rFonts w:ascii="Arial Narrow" w:hAnsi="Arial Narrow" w:eastAsiaTheme="minorEastAsia"/>
                <w:i/>
                <w:color w:val="000000" w:themeColor="dark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 w:eastAsiaTheme="minorEastAsia"/>
                <w:i/>
                <w:color w:val="000000" w:themeColor="dark1"/>
                <w:sz w:val="24"/>
                <w:szCs w:val="24"/>
                <w:lang w:eastAsia="ru-RU"/>
              </w:rPr>
            </w:pPr>
            <w:r>
              <w:rPr>
                <w:rFonts w:ascii="Arial Narrow" w:hAnsi="Arial Narrow" w:eastAsiaTheme="minorEastAsia"/>
                <w:i/>
                <w:color w:val="000000" w:themeColor="dark1"/>
                <w:sz w:val="24"/>
                <w:szCs w:val="24"/>
                <w:lang w:eastAsia="ru-RU"/>
              </w:rPr>
            </w:r>
            <w:r>
              <w:rPr>
                <w:rFonts w:ascii="Arial Narrow" w:hAnsi="Arial Narrow" w:eastAsiaTheme="minorEastAsia"/>
                <w:i/>
                <w:color w:val="000000" w:themeColor="dark1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48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 w:eastAsiaTheme="minorEastAsia"/>
                <w:i/>
                <w:color w:val="000000" w:themeColor="dark1"/>
                <w:sz w:val="24"/>
                <w:szCs w:val="24"/>
                <w:lang w:eastAsia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97355" cy="1638300"/>
                      <wp:effectExtent l="0" t="0" r="0" b="0"/>
                      <wp:docPr id="38" name="Изображение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" name="Изображение16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97355" cy="1638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" o:spid="_x0000_s42" type="#_x0000_t75" style="width:133.65pt;height:129.00pt;mso-wrap-distance-left:0.00pt;mso-wrap-distance-top:0.00pt;mso-wrap-distance-right:0.00pt;mso-wrap-distance-bottom:0.00pt;" stroked="false">
                      <v:path textboxrect="0,0,0,0"/>
                      <v:imagedata r:id="rId35" o:title=""/>
                    </v:shape>
                  </w:pict>
                </mc:Fallback>
              </mc:AlternateContent>
            </w:r>
            <w:r>
              <w:rPr>
                <w:rFonts w:ascii="Arial Narrow" w:hAnsi="Arial Narrow" w:eastAsiaTheme="minorEastAsia"/>
                <w:i/>
                <w:color w:val="000000" w:themeColor="dark1"/>
                <w:sz w:val="24"/>
                <w:szCs w:val="24"/>
                <w:lang w:eastAsia="ru-RU"/>
              </w:rPr>
            </w:r>
          </w:p>
        </w:tc>
        <w:tc>
          <w:tcPr>
            <w:tcW w:w="242" w:type="dxa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</w:tr>
      <w:tr>
        <w:tblPrEx/>
        <w:trPr/>
        <w:tc>
          <w:tcPr>
            <w:gridSpan w:val="2"/>
            <w:tcW w:w="48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48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242" w:type="dxa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</w:tr>
    </w:tbl>
    <w:p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К основным рискам</w:t>
      </w:r>
      <w:r>
        <w:rPr>
          <w:rFonts w:ascii="Arial Narrow" w:hAnsi="Arial Narrow"/>
          <w:sz w:val="28"/>
          <w:szCs w:val="28"/>
        </w:rPr>
        <w:t xml:space="preserve"> развития скалолазания в горизонте 2032 можно отнести следующие: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</w:rPr>
      </w:pPr>
      <w:r>
        <w:rPr>
          <w:rFonts w:ascii="Arial Narrow" w:hAnsi="Arial Narrow"/>
          <w:b/>
          <w:color w:val="002060"/>
          <w:sz w:val="28"/>
          <w:szCs w:val="28"/>
        </w:rPr>
        <w:t xml:space="preserve">На международном уровне </w: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развития скалолазания в России может</w:t>
      </w:r>
      <w:r>
        <w:rPr>
          <w:rFonts w:ascii="Arial Narrow" w:hAnsi="Arial Narrow"/>
          <w:sz w:val="28"/>
          <w:szCs w:val="28"/>
        </w:rPr>
        <w:t xml:space="preserve"> быть связан с политической обстановкой, ограничениями в участии российских спортсменов в международных соревнованиях, в получении виз и других разрешений для российских и иностранных скалолазов и другими барьерами политического и экономического характера.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Риски, связанные с непризнанием РУСАДА со стороны WADA: 23 сентября 2023 WADA заявило о продолжении несоответствия РУСАДА Всемирному антидопинговому кодексу.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</w:rPr>
      </w:pPr>
      <w:r>
        <w:rPr>
          <w:rFonts w:ascii="Arial Narrow" w:hAnsi="Arial Narrow"/>
          <w:b/>
          <w:color w:val="002060"/>
          <w:sz w:val="28"/>
          <w:szCs w:val="28"/>
        </w:rPr>
        <w:t xml:space="preserve">На федеральном уровне </w: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развития скалолазания в России может быть связан с недостаточной поддержкой со стороны государства и слабой реализацией финансовой модели внебюджетного финансирования.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отсутствия притока спортсменов и любителей в связи с возможным ухудшением экономических условий.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отсутствия высоких спортивных результатов.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снижения мотивации и отсутствия перспектив для спортсменов.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Репутационные риски, которые связаны с ростом числа травм вследствие нарушения требований, стандартов безопасности скалолазания и низкой квалификации персонала.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color w:val="002060"/>
          <w:sz w:val="28"/>
          <w:szCs w:val="28"/>
        </w:rPr>
      </w:pPr>
      <w:r>
        <w:rPr>
          <w:rFonts w:ascii="Arial Narrow" w:hAnsi="Arial Narrow"/>
          <w:b/>
          <w:color w:val="002060"/>
          <w:sz w:val="28"/>
          <w:szCs w:val="28"/>
        </w:rPr>
        <w:t xml:space="preserve">На региональном уровне </w: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недостаточной поддержки развития скалолазания в регионах со стороны государства.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отсутствия или слабой реализации собственной финансовой модели внебюджетного финансирования региональной федерации.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ограниченных возможностей для строительства и модернизации скалодромов.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нехватки квалифицированных кадров.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Риск недостаточной популяризации скалолазания среди населения.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Репутационные риски, которые связаны с ростом числа травм вследствие нарушения требований, стандартов безопасности скалолазания и низкой квалификации персонала.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Реализация представленных целей и задач, с учетом возможных рисков, позволит: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укрепить действующие позиции и определить перспективные направления для будущего скалолазания в России;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усилить развитие скалолазания как спорта высоких достижений, а также массового спорта;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5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повысить динамику популяризации скалолазания среди населения, продолжая улучшать условия для занятия скалолазанием в стране.</w:t>
      </w:r>
      <w:r>
        <w:rPr>
          <w:rFonts w:ascii="Arial Narrow" w:hAnsi="Arial Narrow"/>
          <w:sz w:val="28"/>
          <w:szCs w:val="28"/>
        </w:rPr>
      </w:r>
    </w:p>
    <w:p>
      <w:r/>
      <w:r/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16"/>
        <w:gridCol w:w="8737"/>
      </w:tblGrid>
      <w:tr>
        <w:tblPrEx/>
        <w:trPr/>
        <w:tc>
          <w:tcPr>
            <w:tcW w:w="111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4035" cy="534035"/>
                      <wp:effectExtent l="0" t="0" r="0" b="0"/>
                      <wp:docPr id="39" name="Изображение17" descr="https://cdn2.iconfinder.com/data/icons/outline-ui-3-part-2-of-3/100/pack03-25-102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Изображение17" descr="https://cdn2.iconfinder.com/data/icons/outline-ui-3-part-2-of-3/100/pack03-25-102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4035" cy="5340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" o:spid="_x0000_s43" type="#_x0000_t75" style="width:42.05pt;height:42.0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W w:w="87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Noto Sans CJK SC" w:cs="Noto Sans CJK SC"/>
                <w:b/>
                <w:sz w:val="32"/>
                <w:szCs w:val="32"/>
              </w:rPr>
              <w:t xml:space="preserve">Раздел 5. Основные этапы и результаты реализации Концепции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условиях быстро меняющегося окружения и динамичного развития спортивных отраслей, управление изменениями становится неотъемлемой частью успешного стратегического развития.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Раздел 5 фокусируется на ключевых этапах и результатах реализации Концепции, представляя путь, который Федерация скалолазания России выбрала для эффективного управления изменениями в сфере скалолазания.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Проактивные меры на каждом этапе позволяют адаптироваться к переменам, строить устойчивый фундамент развития и успешно преодолевать вызовы, стоящие перед нашим сообществом.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На протяжении периода до 2032 года Федерация скалолазания России предпримет ряд клю</w:t>
      </w:r>
      <w:r>
        <w:rPr>
          <w:rFonts w:ascii="Arial Narrow" w:hAnsi="Arial Narrow"/>
          <w:sz w:val="28"/>
          <w:szCs w:val="28"/>
        </w:rPr>
        <w:t xml:space="preserve">чевых шагов для достижения поставленных целей. Первоочередные усилия будут сосредоточены на расширении сети скалолазных объектов, развитии образовательных программ, повышении доступности и качества тренировочных баз для атлетов на всех уровнях подготовки.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Значительное внимание будет уделено проведению национальных и международных соревнований, с целью повышения статуса и привлечения внимания к скалолазанию в России.</w:t>
      </w:r>
      <w:r>
        <w:rPr>
          <w:rFonts w:ascii="Arial Narrow" w:hAnsi="Arial Narrow"/>
          <w:sz w:val="28"/>
          <w:szCs w:val="28"/>
        </w:rPr>
      </w:r>
    </w:p>
    <w:p>
      <w:pPr>
        <w:jc w:val="center"/>
        <w:spacing w:before="2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8474" cy="4550320"/>
                <wp:effectExtent l="0" t="0" r="0" b="0"/>
                <wp:docPr id="40" name="Рисунок 6" descr="Изображение выглядит как текст, снимок экрана, диаграмма, Шриф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2209042" name="Рисунок 6" descr="Изображение выглядит как текст, снимок экрана, диаграмма, Шрифт&#10;&#10;Автоматически созданное описание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050616" cy="45519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76.26pt;height:358.29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2"/>
        </w:numPr>
        <w:jc w:val="both"/>
        <w:spacing w:before="240"/>
        <w:tabs>
          <w:tab w:val="left" w:pos="284" w:leader="none"/>
        </w:tabs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Этап. ПОДГОТОВКА (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2023–2024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 гг.)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Анализ текущего состояния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Проведен опрос различных групп респондентов и сбор статистических данных. На основании полученных данных проведен анализ существующих скалолазных объектов и инфраструктуры, уровня подготовки спортсменов и укомплектованности кадров.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Сформир</w:t>
      </w:r>
      <w:r>
        <w:rPr>
          <w:rFonts w:ascii="Arial Narrow" w:hAnsi="Arial Narrow"/>
          <w:sz w:val="28"/>
          <w:szCs w:val="28"/>
        </w:rPr>
        <w:t xml:space="preserve">ован перечень ключевых проблем, решение которых должно способствовать увеличению популярности этого вида спорта в стране и росту спортивных достижений в России и мире. Актуальное состояние и проблемы развития скалолазания в России представлены в Разделе 3.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Определение стратегических приоритетов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Определены основные направления развития скалолазания, с учетом результатов анализа. Разработаны и утвержден</w:t>
      </w:r>
      <w:r>
        <w:rPr>
          <w:rFonts w:ascii="Arial Narrow" w:hAnsi="Arial Narrow"/>
          <w:sz w:val="28"/>
          <w:szCs w:val="28"/>
        </w:rPr>
        <w:t xml:space="preserve">ы стратегические цели и направления развития на международном, национальном и региональном уровнях. Цели, задачи и риски развития скалолазания на период до 2032 г. представлены в Разделе 4. Сформирована и утверждена Концепция развития ФСР в горизонте 2032.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2"/>
        </w:numPr>
        <w:jc w:val="both"/>
        <w:spacing w:before="240"/>
        <w:tabs>
          <w:tab w:val="left" w:pos="284" w:leader="none"/>
        </w:tabs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Этап. ИНФРАСТРУКТУРА (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2025–2026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 гг.) 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Строительство новых объектов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Разработаны планы и запущено строительство новых скалолазных объектов,</w:t>
      </w:r>
      <w:r>
        <w:t xml:space="preserve"> </w:t>
      </w:r>
      <w:r>
        <w:rPr>
          <w:rFonts w:ascii="Arial Narrow" w:hAnsi="Arial Narrow"/>
          <w:sz w:val="28"/>
          <w:szCs w:val="28"/>
        </w:rPr>
        <w:t xml:space="preserve">с учетом географического равномерного покрытия в различных регионах России, для расширения доступности тренировочных площадок.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Развитие тренировочных центров: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after="0"/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Продолжается обновление и расширение существующих тренировочных центров и баз, обеспечение их современным оборудованием и техническими стандартами.</w:t>
      </w:r>
      <w:r>
        <w:t xml:space="preserve"> </w:t>
      </w:r>
      <w:r/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Развитие инфраструктуры ведется с учетом нужд детско-юношеского и адаптивного спорта.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Развитие кадрового потенциала: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pStyle w:val="1247"/>
        <w:numPr>
          <w:ilvl w:val="0"/>
          <w:numId w:val="21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Увеличивается количество спортивных специалистов – тренеров, инструкторов, судей, подготовщиков трасс и др.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1"/>
        </w:numPr>
        <w:contextualSpacing w:val="0"/>
        <w:ind w:left="0" w:firstLine="0"/>
        <w:jc w:val="both"/>
        <w:spacing w:after="20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Повышается качество спортивного образования, система обучения и повышения квалификации охватывает всех специалистов в области скалолазания.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1"/>
        </w:numPr>
        <w:contextualSpacing w:val="0"/>
        <w:ind w:left="0" w:firstLine="0"/>
        <w:jc w:val="both"/>
        <w:spacing w:after="20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Проводится сертификация тренеров и др. специалистов.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Активность массового спорта: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pStyle w:val="1247"/>
        <w:numPr>
          <w:ilvl w:val="0"/>
          <w:numId w:val="19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Увеличивается количество занимающихся скалолазанием.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"/>
        </w:numPr>
        <w:contextualSpacing w:val="0"/>
        <w:ind w:left="0" w:firstLine="0"/>
        <w:jc w:val="both"/>
        <w:spacing w:after="20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Развиваются, в том числе, направления детско-юношеского, студенческого,</w:t>
      </w:r>
      <w:r>
        <w:rPr>
          <w:rFonts w:ascii="Arial Narrow" w:hAnsi="Arial Narrow"/>
          <w:sz w:val="28"/>
          <w:szCs w:val="28"/>
        </w:rPr>
        <w:t xml:space="preserve"> адаптивного и военно-прикладного скалолазания.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2"/>
        </w:numPr>
        <w:jc w:val="both"/>
        <w:spacing w:before="240"/>
        <w:tabs>
          <w:tab w:val="left" w:pos="284" w:leader="none"/>
        </w:tabs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Этап. МЕРОПРИЯТИЯ (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202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7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 - 202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8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 гг.) 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Укрепление позиций на мировой арене 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Наши спортсмены активно участвуют в отборе на Олимпийские игры (и частично прошли отбор), других официальных МС IFSC и/или открытых/коммерческих международных турнирах, демонстрируя высокий уровень подготовки и конкурентоспособность.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Развиваются партнерства в международной спортивной среде на всех уровнях (национальном, региональном, международном): с государственными и межгосударственными структурами, общественными и коммерческими организациями, экспертами, лидерами мнений и пр.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Осуществляется подготовка высококвалифицированных специалистов во всех сферах деятельности международных спортивных структур.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9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Увеличивается число представителей ФСР в IFSC и других международных спортивных структурах.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9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Осуществляется подготовка специалистов в рамках сотрудничества с НФ других стран.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9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Для решения этих задач создан и работает международный учебно-методический центр подготовки кадров на базе ЦС ЦСКА.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ind w:left="0"/>
        <w:jc w:val="both"/>
        <w:spacing w:line="276" w:lineRule="auto"/>
        <w:rPr>
          <w:shd w:val="clear" w:color="auto" w:fill="00ff00"/>
        </w:rPr>
      </w:pPr>
      <w:r>
        <w:rPr>
          <w:shd w:val="clear" w:color="auto" w:fill="00ff00"/>
        </w:rPr>
      </w:r>
      <w:r>
        <w:rPr>
          <w:shd w:val="clear" w:color="auto" w:fill="00ff00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Проведение соревнований: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Регулярно проводятся международные, национальные и региональные соревнования, с участием выдающихся спортсменов, привлекающие внимание медиа и общественности.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Сотрудничество: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Развиваются партнерские отношения с региональными федерациями скалолазания, государственными органами управления и общественными организациями в сфере спорта.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3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Увеличивается объем финансовой поддержки со стороны государственных органов.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Молодежные программы и спортивный резерв: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after="0"/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Запущены различные образовательные программы и мероприятия для молодежи, направленные на популяризацию скалолазания и здорового образа жизни.</w:t>
      </w:r>
      <w:r>
        <w:t xml:space="preserve"> </w:t>
      </w:r>
      <w:r/>
    </w:p>
    <w:p>
      <w:pPr>
        <w:pStyle w:val="1247"/>
        <w:numPr>
          <w:ilvl w:val="0"/>
          <w:numId w:val="17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Укрепляется сотрудничество с образовательными учреждениями.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7"/>
        </w:numPr>
        <w:contextualSpacing w:val="0"/>
        <w:ind w:left="0" w:firstLine="0"/>
        <w:jc w:val="both"/>
        <w:spacing w:after="20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Развивается система выявления перспективных спортсменов для формирования спортивного резерва.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2"/>
        </w:numPr>
        <w:jc w:val="both"/>
        <w:spacing w:before="240"/>
        <w:tabs>
          <w:tab w:val="left" w:pos="284" w:leader="none"/>
        </w:tabs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Этап. РАЗВИТИЕ (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202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9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 - 20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30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 гг.) 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Бренд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•</w:t>
      </w:r>
      <w:r>
        <w:rPr>
          <w:rFonts w:ascii="Arial Narrow" w:hAnsi="Arial Narrow"/>
          <w:b/>
          <w:i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Повышается узнаваемость бренда ФСР как на федеральном уровне, так и в международной спортивной среде.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Популяризация: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numPr>
          <w:ilvl w:val="0"/>
          <w:numId w:val="20"/>
        </w:numPr>
        <w:ind w:left="0" w:firstLine="0"/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Скалолазание входит в топ 30 популярных видов спорта и физической активности в России по числу занимающихся.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0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Скалолазание популяризируется посредством массовых мероприятий и проектов, содействуя реализации национальных и федеральных целевых программ.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0"/>
        </w:numPr>
        <w:contextualSpacing w:val="0"/>
        <w:ind w:left="0" w:firstLine="0"/>
        <w:jc w:val="both"/>
        <w:spacing w:after="20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Реализованы медийные и информационные кампании для повышения осведомленности об интересных событиях и достижениях скалолазания в России, направленные на увеличение интереса к скалолазанию в обществе.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Усилено взаимодействие со средствами массовой информации, созданы партнерства с медийными, спортивными и общественными организациями для </w:t>
      </w:r>
      <w:r>
        <w:rPr>
          <w:rFonts w:ascii="Arial Narrow" w:hAnsi="Arial Narrow"/>
          <w:sz w:val="28"/>
          <w:szCs w:val="28"/>
        </w:rPr>
        <w:t xml:space="preserve">расширения охвата.</w:t>
      </w:r>
      <w:r>
        <w:rPr>
          <w:rFonts w:ascii="Arial Narrow" w:hAnsi="Arial Narrow"/>
          <w:sz w:val="28"/>
          <w:szCs w:val="28"/>
        </w:rPr>
      </w:r>
    </w:p>
    <w:p>
      <w:pPr>
        <w:numPr>
          <w:ilvl w:val="0"/>
          <w:numId w:val="37"/>
        </w:numPr>
        <w:ind w:left="0" w:firstLine="0"/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Ведется работа с лидерами мнений: блогеры и авторы контента, эксперты и профессионалы своего дела, </w:t>
      </w:r>
      <w:r>
        <w:rPr>
          <w:rFonts w:ascii="Arial Narrow" w:hAnsi="Arial Narrow"/>
          <w:sz w:val="28"/>
          <w:szCs w:val="28"/>
        </w:rPr>
        <w:t xml:space="preserve">инфлюенсеры</w:t>
      </w:r>
      <w:r>
        <w:rPr>
          <w:rFonts w:ascii="Arial Narrow" w:hAnsi="Arial Narrow"/>
          <w:sz w:val="28"/>
          <w:szCs w:val="28"/>
        </w:rPr>
        <w:t xml:space="preserve"> и знаменитости, лидеры общественного мнения и активисты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Развитие научно-исследовательской деятельности: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pStyle w:val="1247"/>
        <w:numPr>
          <w:ilvl w:val="0"/>
          <w:numId w:val="19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    Расширяется участие ФСР в международных исследовательских программах.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9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    Проводятся мероприятия с целью обмена опытом, получения обратной связи и стимулирования генерации идей среди участников скалолазного сообщества России.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9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    Реализована поддержка сборной команды экспериментальными 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разработками  ТШ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 (методики, методические пособия, научные статьи).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9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    Усилено научно-методическое взаимодействие с региональными федерациями, увеличен объем методической поддержки.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ind w:left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Система управления: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pStyle w:val="1247"/>
        <w:numPr>
          <w:ilvl w:val="0"/>
          <w:numId w:val="17"/>
        </w:numPr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Планомерно развивается бизнес-модель и система управления ФСР с целью повышения эффективности работы.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7"/>
        </w:numPr>
        <w:contextualSpacing w:val="0"/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Продвигаются ценности ФСР на всех уровнях.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7"/>
        </w:numPr>
        <w:contextualSpacing w:val="0"/>
        <w:ind w:left="0" w:firstLine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Поддерживается синхронизация систем и данных с государственной стратегией цифровой трансформации.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7"/>
        </w:numPr>
        <w:contextualSpacing w:val="0"/>
        <w:ind w:left="0" w:firstLine="0"/>
        <w:jc w:val="both"/>
        <w:spacing w:after="20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Расширяется методологическая поддержка региональных федераций.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2"/>
        </w:numPr>
        <w:jc w:val="both"/>
        <w:spacing w:before="240"/>
        <w:tabs>
          <w:tab w:val="left" w:pos="284" w:leader="none"/>
        </w:tabs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Этап. УСТОЙЧИВОСТЬ (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2030 - 2032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  <w:t xml:space="preserve"> гг.) </w:t>
      </w:r>
      <w:r>
        <w:rPr>
          <w:rFonts w:ascii="Arial Narrow" w:hAnsi="Arial Narrow" w:eastAsiaTheme="minorHAnsi" w:cstheme="minorBidi"/>
          <w:b/>
          <w:color w:val="002060"/>
          <w:sz w:val="28"/>
          <w:szCs w:val="28"/>
          <w:lang w:eastAsia="en-US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Мониторинг и анализ: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Развита система обмена данными с региональными федерациями.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3"/>
        </w:numPr>
        <w:ind w:left="0" w:firstLine="0"/>
        <w:jc w:val="both"/>
        <w:spacing w:line="276" w:lineRule="auto"/>
      </w:pPr>
      <w:r>
        <w:rPr>
          <w:rFonts w:ascii="Arial Narrow" w:hAnsi="Arial Narrow"/>
          <w:sz w:val="28"/>
          <w:szCs w:val="28"/>
        </w:rPr>
        <w:t xml:space="preserve">Установлен механизм регулярного мониторинга, для отслеживания выполнения плана и достижения поставленных целей, обеспечивающий оценку прогресса в достижении целей и задач.</w:t>
      </w:r>
      <w:r>
        <w:t xml:space="preserve"> </w:t>
      </w:r>
      <w:r/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•</w:t>
      </w:r>
      <w:r>
        <w:rPr>
          <w:rFonts w:ascii="Arial Narrow" w:hAnsi="Arial Narrow"/>
          <w:sz w:val="28"/>
          <w:szCs w:val="28"/>
        </w:rPr>
        <w:tab/>
        <w:t xml:space="preserve">Проводятся регулярные анализы эффективности мероприятий.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Разработка</w:t>
      </w:r>
      <w:r>
        <w:rPr>
          <w:rFonts w:ascii="Arial Narrow" w:hAnsi="Arial Narrow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стратегии</w:t>
      </w:r>
      <w:r>
        <w:rPr>
          <w:rFonts w:ascii="Arial Narrow" w:hAnsi="Arial Narrow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на</w:t>
      </w:r>
      <w:r>
        <w:rPr>
          <w:rFonts w:ascii="Arial Narrow" w:hAnsi="Arial Narrow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следующий</w:t>
      </w:r>
      <w:r>
        <w:rPr>
          <w:rFonts w:ascii="Arial Narrow" w:hAnsi="Arial Narrow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период</w:t>
      </w:r>
      <w:r>
        <w:rPr>
          <w:rFonts w:ascii="Arial Narrow" w:hAnsi="Arial Narrow"/>
          <w:b/>
          <w:i/>
          <w:sz w:val="28"/>
          <w:szCs w:val="28"/>
        </w:rPr>
        <w:t xml:space="preserve">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pStyle w:val="1247"/>
        <w:numPr>
          <w:ilvl w:val="0"/>
          <w:numId w:val="17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Проведен анализ стратегии развития 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с  учетом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 полученных данных мониторинга и изменений внешней среды.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7"/>
        </w:numPr>
        <w:ind w:left="0" w:firstLine="0"/>
        <w:jc w:val="both"/>
        <w:spacing w:line="276" w:lineRule="auto"/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Разработана стратегия развития ФСР на следующий период.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jc w:val="both"/>
        <w:spacing w:before="240" w:after="0"/>
        <w:rPr>
          <w:rFonts w:ascii="Arial Narrow" w:hAnsi="Arial Narrow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О</w:t>
      </w:r>
      <w:r>
        <w:rPr>
          <w:rFonts w:ascii="Arial Narrow" w:hAnsi="Arial Narrow"/>
          <w:b/>
          <w:i/>
          <w:sz w:val="28"/>
          <w:szCs w:val="28"/>
        </w:rPr>
        <w:t xml:space="preserve">тчетность и обратная связь:</w:t>
      </w:r>
      <w:r>
        <w:rPr>
          <w:rFonts w:ascii="Arial Narrow" w:hAnsi="Arial Narrow"/>
          <w:b/>
          <w:i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•</w:t>
      </w:r>
      <w:r>
        <w:rPr>
          <w:rFonts w:ascii="Arial Narrow" w:hAnsi="Arial Narrow"/>
          <w:b/>
          <w:i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Регулярно предоставляется отчетность заинтересованным сторонам, включая анализ обратной связи от тренеров, спортсменов и общественности.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pP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</w:p>
    <w:p>
      <w:pPr>
        <w:jc w:val="both"/>
        <w:spacing w:before="240" w:after="0"/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pP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  <w:t xml:space="preserve">Настоящий раздел «Дорожной карты» представляет основные этапы, прогрессивные шаги и направления развития скалолазания в Росс</w:t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  <w:t xml:space="preserve">ии на период до 2032 года. Она подлежит регулярному обновлению и корректировке в соответствии с динамикой изменений в спортивной обстановке и общественных требованиях, поддерживая постоянное движение к достижению общих целей развития скалолазания в России.</w:t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</w:p>
    <w:p>
      <w:pPr>
        <w:jc w:val="both"/>
        <w:spacing w:before="240" w:after="0"/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pP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</w:p>
    <w:p>
      <w:pPr>
        <w:jc w:val="both"/>
        <w:spacing w:before="240" w:after="0"/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pP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</w:p>
    <w:p>
      <w:pPr>
        <w:jc w:val="both"/>
        <w:spacing w:before="240" w:after="0"/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pP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</w:p>
    <w:p>
      <w:pPr>
        <w:jc w:val="both"/>
        <w:spacing w:before="240" w:after="0"/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pP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</w:p>
    <w:p>
      <w:pPr>
        <w:jc w:val="both"/>
        <w:spacing w:before="240" w:after="0"/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pP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</w:p>
    <w:p>
      <w:pPr>
        <w:jc w:val="both"/>
        <w:spacing w:before="240" w:after="0"/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pP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</w:p>
    <w:p>
      <w:pPr>
        <w:jc w:val="both"/>
        <w:spacing w:before="240" w:after="0"/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pP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  <w:r>
        <w:rPr>
          <w:rFonts w:ascii="Arial Narrow" w:hAnsi="Arial Narrow" w:eastAsia="Times New Roman" w:cs="Segoe UI"/>
          <w:color w:val="000000"/>
          <w:sz w:val="28"/>
          <w:szCs w:val="28"/>
          <w:lang w:eastAsia="ru-RU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16"/>
        <w:gridCol w:w="8737"/>
      </w:tblGrid>
      <w:tr>
        <w:tblPrEx/>
        <w:trPr/>
        <w:tc>
          <w:tcPr>
            <w:tcW w:w="111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5315" cy="615315"/>
                      <wp:effectExtent l="0" t="0" r="0" b="0"/>
                      <wp:docPr id="41" name="Изображение18" descr="https://cdn0.iconfinder.com/data/icons/map-location-solid-style/91/Map_-_Location_Solid_Style_14-102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" name="Изображение18" descr="https://cdn0.iconfinder.com/data/icons/map-location-solid-style/91/Map_-_Location_Solid_Style_14-102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5315" cy="6153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" o:spid="_x0000_s45" type="#_x0000_t75" style="width:48.45pt;height:48.45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W w:w="87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Noto Sans CJK SC" w:cs="Noto Sans CJK SC"/>
                <w:b/>
                <w:sz w:val="32"/>
                <w:szCs w:val="32"/>
              </w:rPr>
              <w:t xml:space="preserve">Раздел 6. Приоритетные направления и целевые </w:t>
            </w:r>
            <w:r>
              <w:rPr>
                <w:rFonts w:ascii="Arial Narrow" w:hAnsi="Arial Narrow" w:eastAsia="Noto Sans CJK SC" w:cs="Noto Sans CJK SC"/>
                <w:b/>
                <w:sz w:val="32"/>
                <w:szCs w:val="32"/>
              </w:rPr>
              <w:t xml:space="preserve">показатели реализации</w:t>
            </w:r>
            <w:r>
              <w:rPr>
                <w:rFonts w:ascii="Arial Narrow" w:hAnsi="Arial Narrow" w:eastAsia="Noto Sans CJK SC" w:cs="Noto Sans CJK SC"/>
                <w:b/>
                <w:sz w:val="32"/>
                <w:szCs w:val="32"/>
              </w:rPr>
              <w:t xml:space="preserve"> Концепции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предыдущих разделах определены ключевые направления развития скалолазания.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качестве приоритетных направлений развития выделены следующие: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3145" cy="2703830"/>
                <wp:effectExtent l="0" t="0" r="0" b="0"/>
                <wp:docPr id="42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Рисунок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6113145" cy="2703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81.35pt;height:212.90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Базовые </w:t>
      </w:r>
      <w:r>
        <w:rPr>
          <w:rFonts w:ascii="Arial Narrow" w:hAnsi="Arial Narrow"/>
          <w:b/>
          <w:sz w:val="28"/>
          <w:szCs w:val="28"/>
        </w:rPr>
        <w:t xml:space="preserve">целевые показатели</w:t>
      </w:r>
      <w:r>
        <w:rPr>
          <w:rFonts w:ascii="Arial Narrow" w:hAnsi="Arial Narrow"/>
          <w:b/>
          <w:sz w:val="28"/>
          <w:szCs w:val="28"/>
        </w:rPr>
        <w:t xml:space="preserve"> отражают достижение г</w:t>
      </w:r>
      <w:r>
        <w:rPr>
          <w:rFonts w:ascii="Arial Narrow" w:hAnsi="Arial Narrow"/>
          <w:b/>
          <w:sz w:val="28"/>
          <w:szCs w:val="28"/>
        </w:rPr>
        <w:t xml:space="preserve">лавных целей</w:t>
      </w:r>
      <w:r>
        <w:rPr>
          <w:rFonts w:ascii="Arial Narrow" w:hAnsi="Arial Narrow"/>
          <w:sz w:val="28"/>
          <w:szCs w:val="28"/>
        </w:rPr>
        <w:t xml:space="preserve">: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4"/>
        </w:numPr>
        <w:ind w:left="0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области спорта высших достижений – поднятие уровня конкурентоспособности российских спортсменов на мировой арене;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4"/>
        </w:numPr>
        <w:contextualSpacing w:val="0"/>
        <w:ind w:left="0" w:firstLine="0"/>
        <w:jc w:val="both"/>
        <w:spacing w:after="20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области массового спорта </w:t>
      </w:r>
      <w:r>
        <w:rPr>
          <w:rFonts w:ascii="Arial Narrow" w:hAnsi="Arial Narrow"/>
          <w:sz w:val="28"/>
          <w:szCs w:val="28"/>
        </w:rPr>
        <w:t xml:space="preserve">- увеличение</w:t>
      </w:r>
      <w:r>
        <w:rPr>
          <w:rFonts w:ascii="Arial Narrow" w:hAnsi="Arial Narrow"/>
          <w:sz w:val="28"/>
          <w:szCs w:val="28"/>
        </w:rPr>
        <w:t xml:space="preserve"> числа лиц, занимающихся скалолазанием, а также расширение сети скалолазных объектов по стране.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соответствии с предложенной «Дорожной картой», представленной в Разделе 5, можно выделить приоритетные направления и индикаторы к ним.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0283" cy="4560559"/>
                <wp:effectExtent l="0" t="0" r="635" b="0"/>
                <wp:docPr id="43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4720522" name="Рисунок 16247205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951162" cy="4576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66.95pt;height:359.10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9262" cy="4482412"/>
                <wp:effectExtent l="0" t="0" r="0" b="1270"/>
                <wp:docPr id="44" name="Рисунок 8" descr="Изображение выглядит как текст, снимок экрана, число, программное обеспечение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4888694" name="Рисунок 8" descr="Изображение выглядит как текст, снимок экрана, число, программное обеспечение&#10;&#10;Автоматически созданное описание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5880677" cy="4498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61.36pt;height:352.95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1607" cy="3670580"/>
                <wp:effectExtent l="0" t="0" r="4445" b="0"/>
                <wp:docPr id="45" name="Рисунок 9" descr="Изображение выглядит как текст, снимок экрана, программное обеспечение, веб-страниц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5109981" name="Рисунок 9" descr="Изображение выглядит как текст, снимок экрана, программное обеспечение, веб-страница&#10;&#10;Автоматически созданное описание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5783729" cy="36846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53.67pt;height:289.02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ind w:left="142"/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44571" cy="3784600"/>
                <wp:effectExtent l="0" t="0" r="5715" b="0"/>
                <wp:docPr id="46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0650673" name="Рисунок 147065067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556596" cy="3792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36.58pt;height:298.00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9464" cy="4133198"/>
                <wp:effectExtent l="0" t="0" r="3175" b="0"/>
                <wp:docPr id="47" name="Рисунок 11" descr="Изображение выглядит как текст, снимок экрана, число, Параллельный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9768231" name="Рисунок 11" descr="Изображение выглядит как текст, снимок экрана, число, Параллельный&#10;&#10;Автоматически созданное описание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725544" cy="41521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48.78pt;height:325.45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ind w:left="284"/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51850" cy="3940810"/>
                <wp:effectExtent l="0" t="0" r="0" b="0"/>
                <wp:docPr id="48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2719905" name="Рисунок 142271990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472001" cy="3955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29.28pt;height:310.30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ind w:left="142"/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ind w:left="142"/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9464" cy="3634862"/>
                <wp:effectExtent l="0" t="0" r="3175" b="0"/>
                <wp:docPr id="49" name="Рисунок 13" descr="Изображение выглядит как текст, снимок экрана, число, Шриф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2442320" name="Рисунок 13" descr="Изображение выглядит как текст, снимок экрана, число, Шрифт&#10;&#10;Автоматически созданное описание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5719349" cy="36475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48.78pt;height:286.21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Измерение и анализ данных показателей позволяют оценить эффективность развития скалолазания в России, выявить прогресс и проблемные области, и улучшить стратегию развития. </w:t>
      </w:r>
      <w:r>
        <w:rPr>
          <w:rFonts w:ascii="Arial Narrow" w:hAnsi="Arial Narrow"/>
          <w:sz w:val="28"/>
          <w:szCs w:val="28"/>
        </w:rPr>
      </w: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1116"/>
        <w:gridCol w:w="8736"/>
      </w:tblGrid>
      <w:tr>
        <w:tblPrEx/>
        <w:trPr/>
        <w:tc>
          <w:tcPr>
            <w:tcW w:w="111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8160" cy="518160"/>
                      <wp:effectExtent l="0" t="0" r="0" b="0"/>
                      <wp:docPr id="50" name="Рисунок 353" descr="https://pfi4.com/wp-content/uploads/2019/07/planning-pn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" name="Рисунок 353" descr="https://pfi4.com/wp-content/uploads/2019/07/planning-png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8160" cy="5181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" o:spid="_x0000_s54" type="#_x0000_t75" style="width:40.80pt;height:40.80pt;mso-wrap-distance-left:0.00pt;mso-wrap-distance-top:0.00pt;mso-wrap-distance-right:0.00pt;mso-wrap-distance-bottom:0.00pt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W w:w="8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Noto Sans CJK SC" w:cs="Noto Sans CJK SC"/>
                <w:b/>
                <w:sz w:val="32"/>
                <w:szCs w:val="32"/>
              </w:rPr>
              <w:t xml:space="preserve">Раздел 7. План мероприятий, нацеленных на реализацию Концепции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Для реализации целей и задач Концепции подготовлен конкретный план действий, включающий в себя создание новых тренировочных центров, проведение образовательных курсов для тренеров и других специалист</w:t>
      </w:r>
      <w:r>
        <w:rPr>
          <w:rFonts w:ascii="Arial Narrow" w:hAnsi="Arial Narrow"/>
          <w:sz w:val="28"/>
          <w:szCs w:val="28"/>
        </w:rPr>
        <w:t xml:space="preserve">ов, организацию национальных соревнований, и проведение информационных кампаний для привлечения новых поклонников скалолазания. План также охватывает вопросы взаимодействия с ключевыми партнерами, а также другими спортивными и образовательными институтами.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18"/>
          <w:szCs w:val="28"/>
        </w:rPr>
      </w:pPr>
      <w:r>
        <w:rPr>
          <w:rFonts w:ascii="Arial Narrow" w:hAnsi="Arial Narrow"/>
          <w:sz w:val="18"/>
          <w:szCs w:val="28"/>
        </w:rPr>
      </w:r>
      <w:r>
        <w:rPr>
          <w:rFonts w:ascii="Arial Narrow" w:hAnsi="Arial Narrow"/>
          <w:sz w:val="18"/>
          <w:szCs w:val="28"/>
        </w:rPr>
      </w:r>
    </w:p>
    <w:p>
      <w:pPr>
        <w:jc w:val="both"/>
        <w:spacing w:before="6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Процесс планирования мероприятий основыва</w:t>
      </w:r>
      <w:r>
        <w:rPr>
          <w:rFonts w:ascii="Arial Narrow" w:hAnsi="Arial Narrow"/>
          <w:sz w:val="28"/>
          <w:szCs w:val="28"/>
        </w:rPr>
        <w:t xml:space="preserve">ется на установленных целях, прорабатывается с учетом оценки потребности в ресурсах и вероятных рисков, и дополняется установлением сроков исполнения и назначения ответственных. Мониторинг и контроль исполнения планов ведется по установленным показателям.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</w:r>
      <w:r>
        <w:rPr>
          <w:rFonts w:ascii="Arial Narrow" w:hAnsi="Arial Narrow"/>
          <w:color w:val="ff000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color w:val="ff0000"/>
          <w:sz w:val="28"/>
          <w:szCs w:val="28"/>
        </w:rPr>
      </w:pPr>
      <w:r>
        <w:drawing>
          <wp:inline xmlns:wp="http://schemas.openxmlformats.org/drawingml/2006/wordprocessingDrawing" distT="0" distB="0" distL="0" distR="0">
            <wp:extent cx="6103620" cy="4099560"/>
            <wp:effectExtent l="12700" t="38100" r="17780" b="27940"/>
            <wp:docPr id="51" name="Diagram50"/>
            <wp:cNvGraphicFramePr/>
            <a:graphic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5" r:lo="rId48" r:qs="rId49" r:cs="rId47"/>
              </a:graphicData>
            </a:graphic>
          </wp:inline>
        </w:drawing>
      </w:r>
      <w:r>
        <w:rPr>
          <w:rFonts w:ascii="Arial Narrow" w:hAnsi="Arial Narrow"/>
          <w:color w:val="ff000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</w:r>
      <w:r>
        <w:rPr>
          <w:rFonts w:ascii="Arial Narrow" w:hAnsi="Arial Narrow"/>
          <w:color w:val="ff0000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</w:r>
      <w:r>
        <w:rPr>
          <w:rFonts w:ascii="Arial Narrow" w:hAnsi="Arial Narrow"/>
          <w:color w:val="ff0000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shd w:val="clear" w:color="auto" w:fill="eaf1dd" w:themeFill="accent3" w:themeFillTint="33"/>
        <w:rPr>
          <w:rFonts w:ascii="Arial Narrow" w:hAnsi="Arial Narrow"/>
          <w:b/>
          <w:color w:val="002060"/>
          <w:sz w:val="28"/>
          <w:szCs w:val="28"/>
        </w:rPr>
      </w:pPr>
      <w:r>
        <w:rPr>
          <w:rFonts w:ascii="Arial Narrow" w:hAnsi="Arial Narrow"/>
          <w:b/>
          <w:color w:val="002060"/>
          <w:sz w:val="28"/>
          <w:szCs w:val="28"/>
        </w:rPr>
        <w:t xml:space="preserve">1 ЭТАП. ПОДГОТОВКА. 2024</w: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19"/>
        </w:numPr>
        <w:ind w:left="0" w:firstLine="0"/>
        <w:jc w:val="both"/>
        <w:spacing w:before="6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Сформировать </w:t>
      </w:r>
      <w:r>
        <w:rPr>
          <w:rFonts w:ascii="Arial Narrow" w:hAnsi="Arial Narrow"/>
          <w:sz w:val="28"/>
          <w:szCs w:val="28"/>
        </w:rPr>
        <w:t xml:space="preserve">рабочие группы для каждого ключевого направления Концепции, с участием экспертов, тренеров и представителей региональных структур. Определить руководителей рабочих групп, отвечающих за подготовку, реализацию и контроль выполнения планов своего направления.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20"/>
        </w:numPr>
        <w:ind w:left="0" w:firstLine="0"/>
        <w:jc w:val="both"/>
        <w:spacing w:after="6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Создать, из числа руководителей Федерации и экспертных представителей региональных федераций, Комиссию по реализации Концепции-2032, с закреплением за ней следующих задач и ответственности: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6"/>
        </w:numPr>
        <w:ind w:left="0" w:firstLine="284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утверждение «Дорожных карт» по всем ключевым направлениям;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6"/>
        </w:numPr>
        <w:contextualSpacing w:val="0"/>
        <w:ind w:left="0" w:firstLine="284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периодический контроль исполнения мероприятий рабочими группами;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6"/>
        </w:numPr>
        <w:contextualSpacing w:val="0"/>
        <w:ind w:left="0" w:firstLine="284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организация совещаний с представителями рабочих групп;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6"/>
        </w:numPr>
        <w:contextualSpacing w:val="0"/>
        <w:ind w:left="0" w:firstLine="284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проведение мониторинга эффективности реализуемых мероприятий и используемых ресурсов;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6"/>
        </w:numPr>
        <w:contextualSpacing w:val="0"/>
        <w:ind w:left="0" w:firstLine="284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определения приоритетности финансирования реализуемых планов;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6"/>
        </w:numPr>
        <w:contextualSpacing w:val="0"/>
        <w:ind w:left="0" w:firstLine="284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уточнение/корректировка планов и показателей к мероприятиям;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6"/>
        </w:numPr>
        <w:contextualSpacing w:val="0"/>
        <w:ind w:left="0" w:firstLine="284"/>
        <w:jc w:val="both"/>
        <w:spacing w:after="20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оказание консультационной поддержки рабочим группам.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21"/>
        </w:numPr>
        <w:contextualSpacing w:val="0"/>
        <w:ind w:left="0" w:firstLine="0"/>
        <w:jc w:val="both"/>
        <w:spacing w:before="6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Провести стратегический анализ регионов (население, покупательский потенциал, развитие интернета, процент молодежи, наличие спортивной и скалолазной </w:t>
      </w:r>
      <w:r>
        <w:rPr>
          <w:rFonts w:ascii="Arial Narrow" w:hAnsi="Arial Narrow"/>
          <w:sz w:val="28"/>
          <w:szCs w:val="28"/>
        </w:rPr>
        <w:t xml:space="preserve">инфраструктуры и пр.) и сформировать классификатор территорий для установления приоритетов в работе с региональными федерациями.</w:t>
      </w:r>
      <w:r>
        <w:t xml:space="preserve"> </w:t>
      </w:r>
      <w:r>
        <w:rPr>
          <w:rFonts w:ascii="Arial Narrow" w:hAnsi="Arial Narrow"/>
          <w:sz w:val="28"/>
          <w:szCs w:val="28"/>
        </w:rPr>
        <w:t xml:space="preserve">Согласовать и утвердить планы регионального развития.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22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единую методологию по формированию планов и бюджетов для ФСР и региональных федераций, оцен</w:t>
      </w:r>
      <w:r>
        <w:rPr>
          <w:rFonts w:ascii="Arial Narrow" w:hAnsi="Arial Narrow"/>
          <w:sz w:val="28"/>
          <w:szCs w:val="28"/>
        </w:rPr>
        <w:t xml:space="preserve">ке потребности в ресурсах, создания системы мониторинга и контроля по реализации инициатив. Провести обучение и оказать экспертную поддержку представителям региональных федераций. Согласовать и скорректировать планы и бюджеты по вертикали «центр-регионы».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23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Актуализировать финансовую модель ФСР под задачи и планируемые мероприятия в партнерстве «центр-регионы».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24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план финансового обеспечения по всем видам источников финансирования. Утвердить плановые бюджеты затрат по реализации мероприятий для всех ключевых направлений Концепции. Выделить приоритетные направления для формирования бюджета развития.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25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презентационные материалы по Концепции для предоставления ее всем интересантам, с целью заключения партнерских отношений и организации взаимодействия «центр-регионы».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26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укрупненную «Дорожную карту» мероприятий по реализации Концепции, с выделением ключевых этапов (подготовительные мероприятия, анализ, реализация, контроль/мониторинг и пр.), а также с учетом последовательности действий и сроков их исполнения.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1517"/>
        <w:gridCol w:w="8120"/>
      </w:tblGrid>
      <w:tr>
        <w:tblPrEx/>
        <w:trPr/>
        <w:tc>
          <w:tcPr>
            <w:tcW w:w="151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284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15340" cy="746760"/>
                      <wp:effectExtent l="0" t="0" r="0" b="0"/>
                      <wp:docPr id="52" name="Рисунок 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" name="Рисунок 6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5340" cy="7467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" o:spid="_x0000_s55" type="#_x0000_t75" style="width:64.20pt;height:58.80pt;mso-wrap-distance-left:0.00pt;mso-wrap-distance-top:0.00pt;mso-wrap-distance-right:0.00pt;mso-wrap-distance-bottom:0.00pt;" stroked="false">
                      <v:path textboxrect="0,0,0,0"/>
                      <v:imagedata r:id="rId50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d6e3bc" w:themeFill="accent3" w:themeFillTint="66"/>
            <w:tcW w:w="811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202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5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-202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6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ПРИОРИТЕТ - МАССОВЫЙ СПОРТ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284" w:leader="none"/>
              </w:tabs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27"/>
              </w:numPr>
              <w:ind w:left="0" w:firstLine="0"/>
              <w:jc w:val="both"/>
              <w:widowControl w:val="off"/>
              <w:tabs>
                <w:tab w:val="left" w:pos="284" w:leader="none"/>
              </w:tabs>
              <w:rPr>
                <w:rFonts w:ascii="Arial Narrow" w:hAnsi="Arial Narrow"/>
                <w:b/>
                <w:sz w:val="28"/>
                <w:szCs w:val="28"/>
                <w:lang w:eastAsia="en-US"/>
              </w:rPr>
            </w:pPr>
            <w:r>
              <w:rPr>
                <w:rFonts w:ascii="Arial Narrow" w:hAnsi="Arial Narrow"/>
                <w:b/>
                <w:color w:val="002060"/>
                <w:sz w:val="28"/>
                <w:szCs w:val="28"/>
                <w:lang w:eastAsia="en-US"/>
              </w:rPr>
              <w:t xml:space="preserve">ЭТАП. ИНФРАСТРУКТУРА</w:t>
            </w:r>
            <w:r>
              <w:rPr>
                <w:rFonts w:ascii="Arial Narrow" w:hAnsi="Arial Narrow"/>
                <w:b/>
                <w:sz w:val="28"/>
                <w:szCs w:val="28"/>
                <w:lang w:eastAsia="en-US"/>
              </w:rPr>
            </w:r>
          </w:p>
        </w:tc>
      </w:tr>
    </w:tbl>
    <w:p>
      <w:pPr>
        <w:jc w:val="both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60" w:after="240" w:line="276" w:lineRule="auto"/>
        <w:tabs>
          <w:tab w:val="left" w:pos="284" w:leader="none"/>
        </w:tabs>
        <w:rPr>
          <w:rFonts w:ascii="Arial Narrow" w:hAnsi="Arial Narrow"/>
          <w:b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color w:val="365f91" w:themeColor="accent1" w:themeShade="BF"/>
          <w:sz w:val="28"/>
          <w:szCs w:val="28"/>
        </w:rPr>
        <w:t xml:space="preserve">СКАЛОЛАЗНЫЕ ОБЪЕКТЫ</w:t>
      </w:r>
      <w:r>
        <w:rPr>
          <w:rFonts w:ascii="Arial Narrow" w:hAnsi="Arial Narrow"/>
          <w:b/>
          <w:color w:val="365f91" w:themeColor="accent1" w:themeShade="BF"/>
          <w:sz w:val="28"/>
          <w:szCs w:val="28"/>
        </w:rPr>
      </w:r>
    </w:p>
    <w:p>
      <w:pPr>
        <w:pStyle w:val="1247"/>
        <w:numPr>
          <w:ilvl w:val="0"/>
          <w:numId w:val="128"/>
        </w:numPr>
        <w:contextualSpacing w:val="0"/>
        <w:ind w:left="0" w:firstLine="0"/>
        <w:jc w:val="both"/>
        <w:spacing w:before="60"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и утвердить классификационный перечень по видам скалодромов и трасс, а также по их укомплектованности оборудованием.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29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Сформировать базу данных по действующим скалолазным объектам (в соответствии с классификатором), определить приоритетные объекты для развития.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30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Утвердить план-график строительства новых объектов, а также график реконструкций и модернизации имеющихся скалодромов и скалолазных трасс.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31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Утвердить план-график комплектации оборудованием имеющихся и новых объектов.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32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планы развития инфраструктуры, с учетом потребностей детско-юношеского и адаптивного спорта.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33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Провести переговоры с представителями федеральной и региональной власти для обеспечения поддержки и участия в строительстве и обновлении объектов.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34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единую методологию по строительству и реконструкции скалодромов, прокладки новых скальных трасс (под каждый вид, утвержденный классификационным перечнем).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35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единый формат представления информации и сформировать пакет методологических, технологических и презентационных материалов в области развития инфраструктуры.</w:t>
      </w:r>
      <w:r>
        <w:rPr>
          <w:rFonts w:ascii="Arial Narrow" w:hAnsi="Arial Narrow"/>
          <w:sz w:val="28"/>
          <w:szCs w:val="28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9.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Создать оптимальные условия на ключевых спортивных базах для специализированной подготовки сборных команд России по скалолазанию. Завершить оснащение Центра скалолазания ЦСКА и филиала ФГБУ “Юг Спорт” в г. Кисловодске.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10.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Провести инвентаризацию и дооснастить недостающим оборудованием действующие региональные спортивные базы, используемые для централизованной подготовки сборной команды России по скалолазанию в г. Тюмени, г. Перми, г. Воронеже.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pStyle w:val="1247"/>
        <w:numPr>
          <w:ilvl w:val="0"/>
          <w:numId w:val="223"/>
        </w:numPr>
        <w:ind w:left="0" w:firstLine="0"/>
        <w:jc w:val="both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пошаговую «Дорожную кар</w:t>
      </w:r>
      <w:r>
        <w:rPr>
          <w:rFonts w:ascii="Arial Narrow" w:hAnsi="Arial Narrow"/>
          <w:sz w:val="28"/>
          <w:szCs w:val="28"/>
        </w:rPr>
        <w:t xml:space="preserve">ту» реализации мероприятий по данному направлению, с указанием ответственных и участников, с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 w:line="360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  <w:t xml:space="preserve">КАДРОВЫЙ ПОТЕНЦИАЛ</w:t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1. Определить перспективную потребность в кадрах (количественную и качественную), с учетом планов развития скалолазания в горизонте 2032 г.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2. Разработать и вн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едрить систему непрерывного обучения, повышения квалификации, сертификации и развития для всех специалистов ФСР и региональных федераций (управленческий персонал, тренерский и судейский состав, административный и вспомогательный персонал, волонтеры и пр.).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3. Разработать планы и методику по формированию внешнего и внутреннего кадрового резерва.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4. Разработать и внедрить программы адаптации, наставничества, аттестации и мотивации сотрудников, включая поддержку персонала при релокации из других регионов.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5. Определить потребность в специальных программах по переподготовке спортсменов, завершивших соревновательную деятельность, с целью снижения дефицита кадров и создания кадрового резерва тренерского состава и управленческого звена.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6. Определить перечень учебных заведений, взаимодействие с которыми обеспечит постоянное решение задач по подготовке и переподготовке профессиональных кадров, а также формированию учебных программ. Заключить партнерские соглашения.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7. Настроить учет данных тренеров и специалистов ТШ, сотрудников ФСР, спортсменов сборной команды России и их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результатов, показанных на официальных международных соревнованиях, удостоенных государственных и ведомственных наград, создать соответствующую базу данных; систематизировать своевременную подачу документов на получение поощрений и наград различного уровня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8. Разработать перечень мер мотивации (в том числе премирования) тренеров и специалистов. 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rPr>
          <w:rFonts w:ascii="Arial Narrow" w:hAnsi="Arial Narrow" w:eastAsia="Times New Roman" w:cs="Times New Roman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sz w:val="28"/>
          <w:szCs w:val="28"/>
          <w:lang w:eastAsia="ru-RU"/>
        </w:rPr>
        <w:t xml:space="preserve">9. Продолжить работу по привлечению тренеров и специалистов в ТШ как на постоянной, так и на временной основе, привлекать иностранных специалистов высокого уровня для работы со сборной командой России.</w:t>
      </w:r>
      <w:r>
        <w:rPr>
          <w:rFonts w:ascii="Arial Narrow" w:hAnsi="Arial Narrow" w:eastAsia="Times New Roman" w:cs="Times New Roman"/>
          <w:sz w:val="28"/>
          <w:szCs w:val="28"/>
          <w:lang w:eastAsia="ru-RU"/>
        </w:rPr>
      </w:r>
    </w:p>
    <w:p>
      <w:pPr>
        <w:jc w:val="both"/>
        <w:spacing w:before="60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10. Составить пошаговую «Дорожную к</w:t>
      </w:r>
      <w:r>
        <w:rPr>
          <w:rFonts w:ascii="Arial Narrow" w:hAnsi="Arial Narrow"/>
          <w:sz w:val="28"/>
          <w:szCs w:val="28"/>
        </w:rPr>
        <w:t xml:space="preserve">арту»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 w:eastAsia="Arial Narrow" w:cs="Arial Narrow"/>
          <w:b/>
          <w:bCs/>
          <w:color w:val="1f497d" w:themeColor="text2"/>
          <w:sz w:val="22"/>
          <w:szCs w:val="22"/>
        </w:rPr>
      </w:pPr>
      <w:r>
        <w:rPr>
          <w:rFonts w:ascii="Arial Narrow" w:hAnsi="Arial Narrow" w:eastAsia="Arial Narrow" w:cs="Arial Narrow"/>
          <w:b/>
          <w:color w:val="1f497d" w:themeColor="text2"/>
          <w:sz w:val="28"/>
          <w:szCs w:val="28"/>
        </w:rPr>
        <w:t xml:space="preserve">СПОРТ ВЫСШИХ ДОСТИЖЕНИЙ.</w:t>
      </w:r>
      <w:r>
        <w:rPr>
          <w:rFonts w:ascii="Arial Narrow" w:hAnsi="Arial Narrow" w:eastAsia="Arial Narrow" w:cs="Arial Narrow"/>
          <w:b/>
          <w:bCs/>
          <w:color w:val="1f497d" w:themeColor="text2"/>
          <w:sz w:val="22"/>
          <w:szCs w:val="22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1. Способствовать включению скалолазания в программу крупных мультиспортивных соревнований, в т. ч. Спортивных игр стран БРИКС, Универсиады, Дети Азии и других значимых спортивных событий страны и мира.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 Проанализировать систему проведения официальны</w:t>
      </w:r>
      <w:r>
        <w:rPr>
          <w:rFonts w:ascii="Arial Narrow" w:hAnsi="Arial Narrow"/>
          <w:sz w:val="28"/>
          <w:szCs w:val="28"/>
        </w:rPr>
        <w:t xml:space="preserve">х Всероссийских соревнований (соревнования 1–2 ранга) от групп 10–13  лет до взрослых спортсменов, усовершенствовать систему проведения соревнований с целью обеспечения оптимальных условий для выявления спортсменов-лидеров в возрастном диапазоне 10-19 лет.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 Разработать и утвердить Целевую комплексную программу на 2025–</w:t>
      </w:r>
      <w:r>
        <w:rPr>
          <w:rFonts w:ascii="Arial Narrow" w:hAnsi="Arial Narrow"/>
          <w:sz w:val="28"/>
          <w:szCs w:val="28"/>
        </w:rPr>
        <w:t xml:space="preserve">2028  гг.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4. Разработать перечень меропри</w:t>
      </w:r>
      <w:r>
        <w:rPr>
          <w:rFonts w:ascii="Arial Narrow" w:hAnsi="Arial Narrow"/>
          <w:sz w:val="28"/>
          <w:szCs w:val="28"/>
        </w:rPr>
        <w:t xml:space="preserve">ятий, способствующих плавному переходу молодых спортсменов в конкурентную среду более опытных спортсменов, созданию эффективных “спортивных лифтов”, преемственности, психологической и функциональной готовности к участию в соревнованиях высокого уровня.   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5. Проработать возможность создания системы непрерывной подготовки спортсменов с учетом имеющихся условий и опыта работы спортивных интернатов по видам спорта в РФ. 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6. Организовать круглогодичный мониторинг функционального состояния спортсменов сборной команды.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7. Усовершенствовать и обеспечить выполнение условий отбора спортсменов для участия в официальных международных соревнованиях и тренировочных мероприятиях в России и за рубежом.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8. Сформировать команду тренеров и специалистов для подготовки спортсменов-паралимпийцев. Сформировать сборную команду России по параскалолазанию, организовать её системную подготовку.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9. Сформировать и развивать информационную методическую базу ТШ, обеспечить ее доступность для тренеров по скалолазанию в регионах.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10. Опробовать и внедрить передовые практики медико-биологического сопровождения спортсменов сборной команды России по скалолазанию.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240" w:line="273" w:lineRule="auto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 Narrow" w:hAnsi="Arial Narrow" w:eastAsia="Times New Roman" w:cs="Times New Roman"/>
          <w:b/>
          <w:bCs/>
          <w:color w:val="44546a"/>
          <w:sz w:val="28"/>
          <w:szCs w:val="28"/>
          <w:lang w:eastAsia="ru-RU"/>
        </w:rPr>
        <w:t xml:space="preserve">МАССОВЫЙ СПОРТ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199"/>
        </w:numPr>
        <w:ind w:left="0" w:firstLine="0"/>
        <w:jc w:val="both"/>
        <w:spacing w:before="60" w:after="0" w:line="273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Сформировать единый Календарь проведения спортивно-массовых мероприятий, фестивалей и соревнований всероссийского и регионального уровней. </w:t>
      </w:r>
      <w:r>
        <w:rPr>
          <w:rFonts w:ascii="Arial Narrow" w:hAnsi="Arial Narrow"/>
          <w:sz w:val="28"/>
          <w:szCs w:val="28"/>
        </w:rPr>
      </w:r>
    </w:p>
    <w:p>
      <w:pPr>
        <w:numPr>
          <w:ilvl w:val="0"/>
          <w:numId w:val="199"/>
        </w:numPr>
        <w:ind w:left="0" w:firstLine="0"/>
        <w:jc w:val="both"/>
        <w:spacing w:after="0" w:line="273" w:lineRule="auto"/>
        <w:tabs>
          <w:tab w:val="left" w:pos="284" w:leader="none"/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Определить потребность в мобильном оборудовании, необходимом для проведения массовых мероприятий (например, мобильный скалодром)</w:t>
      </w:r>
      <w:r>
        <w:rPr>
          <w:rFonts w:ascii="Arial Narrow" w:hAnsi="Arial Narrow"/>
          <w:sz w:val="28"/>
          <w:szCs w:val="28"/>
        </w:rPr>
        <w:t xml:space="preserve">.</w:t>
      </w:r>
      <w:r>
        <w:rPr>
          <w:rFonts w:ascii="Arial Narrow" w:hAnsi="Arial Narrow"/>
          <w:sz w:val="28"/>
          <w:szCs w:val="28"/>
        </w:rPr>
      </w:r>
    </w:p>
    <w:p>
      <w:pPr>
        <w:numPr>
          <w:ilvl w:val="0"/>
          <w:numId w:val="199"/>
        </w:numPr>
        <w:ind w:left="0" w:firstLine="0"/>
        <w:jc w:val="both"/>
        <w:spacing w:after="0" w:line="273" w:lineRule="auto"/>
        <w:tabs>
          <w:tab w:val="left" w:pos="284" w:leader="none"/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и утвердить план по увеличению количества занимающихся скалолазанием как видом спорта и активного отдыха, с определением источников привлечения.</w:t>
      </w:r>
      <w:r>
        <w:rPr>
          <w:rFonts w:ascii="Arial Narrow" w:hAnsi="Arial Narrow"/>
          <w:sz w:val="28"/>
          <w:szCs w:val="28"/>
        </w:rPr>
      </w:r>
    </w:p>
    <w:p>
      <w:pPr>
        <w:numPr>
          <w:ilvl w:val="0"/>
          <w:numId w:val="199"/>
        </w:numPr>
        <w:ind w:left="0" w:firstLine="0"/>
        <w:jc w:val="both"/>
        <w:spacing w:after="0" w:line="273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Обеспечить стабильную работу следующих направлений скалолазания: детско-юношеского (школьного), адаптивного, студенческого, военно-прикладного, корпоративного, освоения и развития естественного рельефа.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9"/>
        </w:numPr>
        <w:ind w:left="0" w:firstLine="0"/>
        <w:jc w:val="both"/>
        <w:spacing w:before="60" w:line="273" w:lineRule="auto"/>
        <w:tabs>
          <w:tab w:val="left" w:pos="284" w:leader="none"/>
        </w:tabs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Составить пошаговую «Дорожную к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арту» реализации мероприятий по данным направлениям,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99"/>
        </w:numPr>
        <w:ind w:left="0" w:firstLine="0"/>
        <w:jc w:val="both"/>
        <w:spacing w:before="60" w:line="273" w:lineRule="auto"/>
        <w:tabs>
          <w:tab w:val="left" w:pos="284" w:leader="none"/>
        </w:tabs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Разработать план по реализации включения мероприятий в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 раздел массовых мероприятий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 ЕКП Минспорта РФ 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ind w:left="0"/>
        <w:jc w:val="both"/>
        <w:spacing w:before="60" w:after="240" w:line="276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60" w:after="240" w:line="276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  <w:t xml:space="preserve">БЕЗОПАСНОСТЬ И СТАНДАРТЫ</w:t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pStyle w:val="1247"/>
        <w:numPr>
          <w:ilvl w:val="0"/>
          <w:numId w:val="38"/>
        </w:numPr>
        <w:contextualSpacing w:val="0"/>
        <w:ind w:left="0" w:firstLine="0"/>
        <w:jc w:val="both"/>
        <w:spacing w:before="60" w:line="276" w:lineRule="auto"/>
        <w:tabs>
          <w:tab w:val="left" w:pos="284" w:leader="none"/>
        </w:tabs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Совершенствовать стандарты безопасности ФСР при занятиях скалолазанием. 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41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Разработать, утвердить единую методологию аттестации специалистов в сфере скалолазания.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42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Принимать активное участие в разработке национальных стандартов и нормативно-правовой базы.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43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Разработать стандартный комплект документации для эксплуатации коммерческого скалодрома, отвечающий требованиям законодательства и безопасности.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44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Способствовать внедрению стандартов безопасности на всех скалодромах.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45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Распространять информационно-образовательные программы по антидопинго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вой тематике в ФСР и региональных федерациях. Проводить информационную работу в сфере антидопинга с целью повышения информированности спортсменов и продвижения принципов противодействия допингу в спорте. Контролировать соблюдение антидопинговых требований.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numPr>
          <w:ilvl w:val="0"/>
          <w:numId w:val="146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 w:eastAsiaTheme="minorHAnsi" w:cstheme="minorBidi"/>
          <w:sz w:val="28"/>
          <w:szCs w:val="28"/>
          <w:lang w:eastAsia="en-US"/>
        </w:rPr>
      </w:pP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Составить пошаговую «Дорожную к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  <w:t xml:space="preserve">арту»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 w:eastAsiaTheme="minorHAnsi" w:cstheme="minorBidi"/>
          <w:sz w:val="28"/>
          <w:szCs w:val="28"/>
          <w:lang w:eastAsia="en-US"/>
        </w:rPr>
      </w:r>
    </w:p>
    <w:p>
      <w:pPr>
        <w:pStyle w:val="1247"/>
        <w:ind w:left="0"/>
        <w:jc w:val="both"/>
        <w:spacing w:before="6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1536"/>
        <w:gridCol w:w="8101"/>
      </w:tblGrid>
      <w:tr>
        <w:tblPrEx/>
        <w:trPr/>
        <w:tc>
          <w:tcPr>
            <w:tcW w:w="1536" w:type="dxa"/>
            <w:vAlign w:val="center"/>
            <w:textDirection w:val="lrTb"/>
            <w:noWrap w:val="false"/>
          </w:tcPr>
          <w:p>
            <w:pPr>
              <w:spacing w:before="60" w:after="0" w:line="240" w:lineRule="auto"/>
              <w:widowControl w:val="off"/>
              <w:tabs>
                <w:tab w:val="left" w:pos="284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38200" cy="822960"/>
                      <wp:effectExtent l="0" t="0" r="0" b="0"/>
                      <wp:docPr id="53" name="Рисунок 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" name="Рисунок 6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38200" cy="8229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" o:spid="_x0000_s56" type="#_x0000_t75" style="width:66.00pt;height:64.80pt;mso-wrap-distance-left:0.00pt;mso-wrap-distance-top:0.00pt;mso-wrap-distance-right:0.00pt;mso-wrap-distance-bottom:0.00pt;" stroked="false">
                      <v:path textboxrect="0,0,0,0"/>
                      <v:imagedata r:id="rId51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d6e3bc" w:themeFill="accent3" w:themeFillTint="66"/>
            <w:tcW w:w="8100" w:type="dxa"/>
            <w:textDirection w:val="lrTb"/>
            <w:noWrap w:val="false"/>
          </w:tcPr>
          <w:p>
            <w:pPr>
              <w:spacing w:before="6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202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7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–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202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8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ПРИОРИТЕТ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- СПОРТ ВЫСШИХ ДОСТИЖЕНИЙ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60" w:after="0" w:line="240" w:lineRule="auto"/>
              <w:widowControl w:val="off"/>
              <w:tabs>
                <w:tab w:val="left" w:pos="284" w:leader="none"/>
              </w:tabs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47"/>
              </w:numPr>
              <w:ind w:left="0" w:firstLine="0"/>
              <w:jc w:val="both"/>
              <w:spacing w:before="60" w:line="276" w:lineRule="auto"/>
              <w:widowControl w:val="off"/>
              <w:tabs>
                <w:tab w:val="left" w:pos="284" w:leader="none"/>
              </w:tabs>
              <w:rPr>
                <w:rFonts w:ascii="Arial Narrow" w:hAnsi="Arial Narrow"/>
                <w:b/>
                <w:sz w:val="28"/>
                <w:szCs w:val="28"/>
                <w:lang w:eastAsia="en-US"/>
              </w:rPr>
            </w:pPr>
            <w:r>
              <w:rPr>
                <w:rFonts w:ascii="Arial Narrow" w:hAnsi="Arial Narrow"/>
                <w:b/>
                <w:color w:val="002060"/>
                <w:sz w:val="28"/>
                <w:szCs w:val="28"/>
                <w:lang w:eastAsia="en-US"/>
              </w:rPr>
              <w:t xml:space="preserve">ЭТАП. МЕРОПРИЯТИЯ</w:t>
            </w:r>
            <w:r>
              <w:rPr>
                <w:rFonts w:ascii="Arial Narrow" w:hAnsi="Arial Narrow"/>
                <w:b/>
                <w:sz w:val="28"/>
                <w:szCs w:val="28"/>
                <w:lang w:eastAsia="en-US"/>
              </w:rPr>
            </w:r>
          </w:p>
        </w:tc>
      </w:tr>
    </w:tbl>
    <w:p>
      <w:pPr>
        <w:pStyle w:val="1247"/>
        <w:ind w:left="0"/>
        <w:jc w:val="both"/>
        <w:spacing w:before="6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144" w:after="240" w:line="276" w:lineRule="auto"/>
        <w:tabs>
          <w:tab w:val="left" w:pos="284" w:leader="none"/>
        </w:tabs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color w:val="365f91" w:themeColor="accent1" w:themeShade="BF"/>
          <w:sz w:val="28"/>
          <w:szCs w:val="28"/>
        </w:rPr>
        <w:t xml:space="preserve">СПОРТИВНЫЕ МЕРОПРИЯТИЯ</w:t>
      </w:r>
      <w:r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r>
    </w:p>
    <w:p>
      <w:pPr>
        <w:pStyle w:val="1247"/>
        <w:numPr>
          <w:ilvl w:val="0"/>
          <w:numId w:val="231"/>
        </w:numPr>
        <w:ind w:left="0" w:firstLine="426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Обеспечить внедрение предложений по модернизации и совершенствованию проведения соревнований</w:t>
      </w:r>
      <w:r>
        <w:rPr>
          <w:rFonts w:ascii="Arial Narrow" w:hAnsi="Arial Narrow" w:cs="Arial Narrow"/>
          <w:sz w:val="28"/>
          <w:szCs w:val="28"/>
        </w:rPr>
      </w:r>
    </w:p>
    <w:p>
      <w:pPr>
        <w:pStyle w:val="1247"/>
        <w:numPr>
          <w:ilvl w:val="0"/>
          <w:numId w:val="231"/>
        </w:numPr>
        <w:ind w:left="0" w:firstLine="426"/>
        <w:jc w:val="both"/>
        <w:rPr>
          <w:rFonts w:ascii="Arial Narrow" w:hAnsi="Arial Narrow" w:eastAsia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Обеспечить участие спортсменов расширенного состава Олимпийской сборной команды-2028 в тренировочных мероприятиях и соревнованиях за рубежом, а также в России в условиях конкурентной среды с участием лидеров мирового скалолазания.</w:t>
      </w:r>
      <w:r>
        <w:rPr>
          <w:rFonts w:ascii="Arial Narrow" w:hAnsi="Arial Narrow" w:eastAsia="Arial Narrow" w:cs="Arial Narrow"/>
          <w:sz w:val="28"/>
          <w:szCs w:val="28"/>
        </w:rPr>
      </w:r>
    </w:p>
    <w:p>
      <w:pPr>
        <w:pStyle w:val="1247"/>
        <w:numPr>
          <w:ilvl w:val="0"/>
          <w:numId w:val="231"/>
        </w:numPr>
        <w:ind w:left="0" w:firstLine="426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Организовывать ежегодные тренировочные мероприятия в скальных районах с соответствующим уровнем сложности и разнообразия трасс, в том числе за рубежом, для спортсменов дисциплин “лазание на трудность” и “боулдеринг”.</w:t>
      </w:r>
      <w:r>
        <w:rPr>
          <w:rFonts w:ascii="Arial Narrow" w:hAnsi="Arial Narrow" w:cs="Arial Narrow"/>
          <w:sz w:val="28"/>
          <w:szCs w:val="28"/>
        </w:rPr>
      </w:r>
    </w:p>
    <w:p>
      <w:pPr>
        <w:pStyle w:val="1247"/>
        <w:numPr>
          <w:ilvl w:val="0"/>
          <w:numId w:val="231"/>
        </w:numPr>
        <w:ind w:left="0" w:firstLine="426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Осуществить запуск ежегодного проекта в формате статусного от</w:t>
      </w:r>
      <w:r>
        <w:rPr>
          <w:rFonts w:ascii="Arial Narrow" w:hAnsi="Arial Narrow" w:eastAsia="Arial Narrow" w:cs="Arial Narrow"/>
          <w:sz w:val="28"/>
          <w:szCs w:val="28"/>
        </w:rPr>
        <w:t xml:space="preserve">крытого международного турнира со значительным призовым фондом для привлечения российских и иностранных спортсменов мирового уровня, создания конкурентной среды, мотивации спортсменов сборной России, повышения статуса ФСР на международной спортивной арене.</w:t>
      </w:r>
      <w:r>
        <w:rPr>
          <w:rFonts w:ascii="Arial Narrow" w:hAnsi="Arial Narrow" w:cs="Arial Narrow"/>
          <w:sz w:val="28"/>
          <w:szCs w:val="28"/>
        </w:rPr>
      </w:r>
    </w:p>
    <w:p>
      <w:pPr>
        <w:pStyle w:val="1247"/>
        <w:ind w:left="0"/>
        <w:jc w:val="both"/>
        <w:spacing w:before="144" w:after="240" w:line="276" w:lineRule="auto"/>
        <w:tabs>
          <w:tab w:val="left" w:pos="284" w:leader="none"/>
        </w:tabs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r>
      <w:r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r>
    </w:p>
    <w:p>
      <w:pPr>
        <w:pStyle w:val="1247"/>
        <w:ind w:left="0"/>
        <w:jc w:val="both"/>
        <w:spacing w:before="144" w:after="240" w:line="276" w:lineRule="auto"/>
        <w:tabs>
          <w:tab w:val="left" w:pos="284" w:leader="none"/>
        </w:tabs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color w:val="365f91" w:themeColor="accent1" w:themeShade="BF"/>
          <w:sz w:val="28"/>
          <w:szCs w:val="28"/>
        </w:rPr>
        <w:t xml:space="preserve">СБОРНАЯ КОМАНДА. </w:t>
      </w:r>
      <w:r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r>
    </w:p>
    <w:p>
      <w:pPr>
        <w:pStyle w:val="1247"/>
        <w:ind w:left="0"/>
        <w:jc w:val="both"/>
        <w:spacing w:before="6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numPr>
          <w:ilvl w:val="0"/>
          <w:numId w:val="230"/>
        </w:numPr>
        <w:ind w:left="0" w:firstLine="426"/>
        <w:jc w:val="both"/>
        <w:spacing w:after="0"/>
        <w:rPr>
          <w:rFonts w:ascii="Arial Narrow" w:hAnsi="Arial Narrow" w:eastAsia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Сформировать в 2026 году расширенный состав Олимпийской сборной - 2028 </w:t>
      </w:r>
      <w:r>
        <w:rPr>
          <w:rFonts w:ascii="Arial Narrow" w:hAnsi="Arial Narrow" w:eastAsia="Arial Narrow" w:cs="Arial Narrow"/>
          <w:sz w:val="28"/>
          <w:szCs w:val="28"/>
        </w:rPr>
      </w:r>
    </w:p>
    <w:p>
      <w:pPr>
        <w:numPr>
          <w:ilvl w:val="0"/>
          <w:numId w:val="230"/>
        </w:numPr>
        <w:ind w:left="0" w:firstLine="426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  <w:lang w:eastAsia="ru-RU"/>
        </w:rPr>
        <w:t xml:space="preserve">Обеспечить непрерывную подготовку спортсменов</w:t>
      </w:r>
      <w:r>
        <w:rPr>
          <w:rFonts w:ascii="Arial Narrow" w:hAnsi="Arial Narrow" w:eastAsia="Arial Narrow" w:cs="Arial Narrow"/>
          <w:sz w:val="28"/>
          <w:szCs w:val="28"/>
        </w:rPr>
        <w:t xml:space="preserve"> </w:t>
      </w:r>
      <w:r>
        <w:rPr>
          <w:rFonts w:ascii="Arial Narrow" w:hAnsi="Arial Narrow" w:eastAsia="Arial Narrow" w:cs="Arial Narrow"/>
          <w:sz w:val="28"/>
          <w:szCs w:val="28"/>
        </w:rPr>
        <w:t xml:space="preserve">Олимпийской сборной </w:t>
      </w:r>
      <w:r>
        <w:rPr>
          <w:rFonts w:ascii="Arial Narrow" w:hAnsi="Arial Narrow" w:eastAsia="Arial Narrow" w:cs="Arial Narrow"/>
          <w:sz w:val="28"/>
          <w:szCs w:val="28"/>
        </w:rPr>
        <w:t xml:space="preserve">-2028 к участию в официальных международных соревнованиях, отборочным стартам и участию в ОИ-2028.</w:t>
      </w:r>
      <w:r>
        <w:rPr>
          <w:rFonts w:ascii="Arial Narrow" w:hAnsi="Arial Narrow" w:cs="Arial Narrow"/>
          <w:sz w:val="28"/>
          <w:szCs w:val="28"/>
        </w:rPr>
      </w:r>
    </w:p>
    <w:p>
      <w:pPr>
        <w:numPr>
          <w:ilvl w:val="0"/>
          <w:numId w:val="230"/>
        </w:numPr>
        <w:ind w:left="0" w:firstLine="426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Обеспечить систематический сбор и анализ ключевых показателей состояния спортсменов сборной команды России в текущем режиме.</w:t>
      </w:r>
      <w:r>
        <w:rPr>
          <w:rFonts w:ascii="Arial Narrow" w:hAnsi="Arial Narrow" w:cs="Arial Narrow"/>
          <w:sz w:val="28"/>
          <w:szCs w:val="28"/>
        </w:rPr>
      </w:r>
    </w:p>
    <w:p>
      <w:pPr>
        <w:numPr>
          <w:ilvl w:val="0"/>
          <w:numId w:val="230"/>
        </w:numPr>
        <w:ind w:left="0" w:firstLine="426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Продолжить работу по привлечению тренеров и специалистов для работы в ТШ как на постоянной, так и на временной основе. Привлекать иностранных специалистов высокого уровня для работы со сборной командой России.</w:t>
      </w:r>
      <w:r>
        <w:rPr>
          <w:rFonts w:ascii="Arial Narrow" w:hAnsi="Arial Narrow" w:cs="Arial Narrow"/>
          <w:sz w:val="28"/>
          <w:szCs w:val="28"/>
        </w:rPr>
      </w:r>
    </w:p>
    <w:p>
      <w:pPr>
        <w:numPr>
          <w:ilvl w:val="0"/>
          <w:numId w:val="230"/>
        </w:numPr>
        <w:ind w:left="0" w:firstLine="426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Обеспечить системную работу специалистов по физиологии, психологии, биомеханике, мобильности суставов и других со спортсменами сборной команды России.</w:t>
      </w:r>
      <w:r>
        <w:rPr>
          <w:rFonts w:ascii="Arial Narrow" w:hAnsi="Arial Narrow" w:cs="Arial Narrow"/>
          <w:sz w:val="28"/>
          <w:szCs w:val="28"/>
        </w:rPr>
      </w:r>
    </w:p>
    <w:p>
      <w:pPr>
        <w:numPr>
          <w:ilvl w:val="0"/>
          <w:numId w:val="230"/>
        </w:numPr>
        <w:ind w:left="0" w:firstLine="426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Обеспечить оснащение спортсменов Олимпийской сборной-2028</w:t>
      </w:r>
      <w:r>
        <w:rPr>
          <w:rFonts w:ascii="Arial Narrow" w:hAnsi="Arial Narrow" w:cs="Arial Narrow"/>
          <w:sz w:val="28"/>
          <w:szCs w:val="28"/>
        </w:rPr>
      </w:r>
    </w:p>
    <w:p>
      <w:pPr>
        <w:pStyle w:val="1254"/>
        <w:jc w:val="both"/>
        <w:spacing w:before="60" w:beforeAutospacing="0" w:after="240" w:afterAutospacing="0" w:line="274" w:lineRule="atLeast"/>
        <w:rPr>
          <w:rFonts w:ascii="Arial Narrow" w:hAnsi="Arial Narrow"/>
          <w:b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color w:val="365f91" w:themeColor="accent1" w:themeShade="BF"/>
          <w:sz w:val="28"/>
          <w:szCs w:val="28"/>
        </w:rPr>
      </w:r>
      <w:r>
        <w:rPr>
          <w:rFonts w:ascii="Arial Narrow" w:hAnsi="Arial Narrow"/>
          <w:b/>
          <w:color w:val="365f91" w:themeColor="accent1" w:themeShade="BF"/>
          <w:sz w:val="28"/>
          <w:szCs w:val="28"/>
        </w:rPr>
      </w:r>
    </w:p>
    <w:p>
      <w:pPr>
        <w:pStyle w:val="1254"/>
        <w:jc w:val="both"/>
        <w:spacing w:before="60" w:beforeAutospacing="0" w:after="240" w:afterAutospacing="0" w:line="274" w:lineRule="atLeast"/>
        <w:rPr>
          <w:rFonts w:ascii="Arial Narrow" w:hAnsi="Arial Narrow"/>
          <w:b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color w:val="365f91" w:themeColor="accent1" w:themeShade="BF"/>
          <w:sz w:val="28"/>
          <w:szCs w:val="28"/>
        </w:rPr>
        <w:t xml:space="preserve">СБОРНАЯ КОМАНДА. </w:t>
      </w:r>
      <w:r>
        <w:rPr>
          <w:rFonts w:ascii="Arial Narrow" w:hAnsi="Arial Narrow"/>
          <w:b/>
          <w:color w:val="365f91" w:themeColor="accent1" w:themeShade="BF"/>
          <w:sz w:val="28"/>
          <w:szCs w:val="28"/>
        </w:rPr>
        <w:t xml:space="preserve">ДОСТИЖЕНИЯ</w:t>
      </w:r>
      <w:r>
        <w:rPr>
          <w:rFonts w:ascii="Arial Narrow" w:hAnsi="Arial Narrow"/>
          <w:b/>
          <w:color w:val="365f91" w:themeColor="accent1" w:themeShade="BF"/>
          <w:sz w:val="28"/>
          <w:szCs w:val="28"/>
        </w:rPr>
      </w:r>
    </w:p>
    <w:p>
      <w:pPr>
        <w:pStyle w:val="1254"/>
        <w:numPr>
          <w:ilvl w:val="0"/>
          <w:numId w:val="229"/>
        </w:numPr>
        <w:ind w:left="0" w:firstLine="426"/>
        <w:jc w:val="both"/>
        <w:spacing w:before="60" w:after="240" w:line="274" w:lineRule="atLeast"/>
        <w:rPr>
          <w:rFonts w:ascii="Arial Narrow" w:hAnsi="Arial Narrow" w:eastAsia="Arial Narrow" w:cs="Arial Narrow"/>
          <w:sz w:val="28"/>
          <w:szCs w:val="28"/>
          <w:lang w:eastAsia="en-US"/>
        </w:rPr>
      </w:pPr>
      <w:r>
        <w:rPr>
          <w:rFonts w:ascii="Arial Narrow" w:hAnsi="Arial Narrow" w:eastAsia="Arial Narrow" w:cs="Arial Narrow"/>
          <w:sz w:val="28"/>
          <w:szCs w:val="28"/>
          <w:lang w:eastAsia="en-US"/>
        </w:rPr>
        <w:t xml:space="preserve">Сформировать в 2026 году расширенный состав Олимпийской сборной - 2028 (далее - ОС-2028).</w:t>
      </w:r>
      <w:r>
        <w:rPr>
          <w:rFonts w:ascii="Arial Narrow" w:hAnsi="Arial Narrow" w:eastAsia="Arial Narrow" w:cs="Arial Narrow"/>
          <w:sz w:val="28"/>
          <w:szCs w:val="28"/>
          <w:lang w:eastAsia="en-US"/>
        </w:rPr>
      </w:r>
    </w:p>
    <w:p>
      <w:pPr>
        <w:pStyle w:val="1254"/>
        <w:numPr>
          <w:ilvl w:val="0"/>
          <w:numId w:val="229"/>
        </w:numPr>
        <w:ind w:left="0" w:firstLine="426"/>
        <w:jc w:val="both"/>
        <w:spacing w:before="60" w:after="240" w:line="274" w:lineRule="atLeast"/>
        <w:rPr>
          <w:rFonts w:ascii="Arial Narrow" w:hAnsi="Arial Narrow" w:eastAsia="Arial Narrow" w:cs="Arial Narrow"/>
          <w:sz w:val="28"/>
          <w:szCs w:val="28"/>
          <w:lang w:eastAsia="en-US"/>
        </w:rPr>
      </w:pPr>
      <w:r>
        <w:rPr>
          <w:rFonts w:ascii="Arial Narrow" w:hAnsi="Arial Narrow" w:eastAsia="Arial Narrow" w:cs="Arial Narrow"/>
          <w:sz w:val="28"/>
          <w:szCs w:val="28"/>
          <w:lang w:eastAsia="en-US"/>
        </w:rPr>
        <w:t xml:space="preserve">Обеспечить непрерывную подготовку спортсменов ОС-2028 к участию в официальных международных соревнованиях, отборочным стартам и участию в ОИ-2028.</w:t>
      </w:r>
      <w:r>
        <w:rPr>
          <w:rFonts w:ascii="Arial Narrow" w:hAnsi="Arial Narrow" w:eastAsia="Arial Narrow" w:cs="Arial Narrow"/>
          <w:sz w:val="28"/>
          <w:szCs w:val="28"/>
          <w:lang w:eastAsia="en-US"/>
        </w:rPr>
      </w:r>
    </w:p>
    <w:p>
      <w:pPr>
        <w:pStyle w:val="1254"/>
        <w:numPr>
          <w:ilvl w:val="0"/>
          <w:numId w:val="229"/>
        </w:numPr>
        <w:ind w:left="0" w:firstLine="426"/>
        <w:jc w:val="both"/>
        <w:spacing w:before="60" w:after="240" w:line="274" w:lineRule="atLeast"/>
        <w:rPr>
          <w:rFonts w:ascii="Arial Narrow" w:hAnsi="Arial Narrow" w:eastAsia="Arial Narrow" w:cs="Arial Narrow"/>
          <w:sz w:val="28"/>
          <w:szCs w:val="28"/>
          <w:lang w:eastAsia="en-US"/>
        </w:rPr>
      </w:pPr>
      <w:r>
        <w:rPr>
          <w:rFonts w:ascii="Arial Narrow" w:hAnsi="Arial Narrow" w:eastAsia="Arial Narrow" w:cs="Arial Narrow"/>
          <w:sz w:val="28"/>
          <w:szCs w:val="28"/>
          <w:lang w:eastAsia="en-US"/>
        </w:rPr>
        <w:t xml:space="preserve">Обеспечить систематический сбор и анализ ключевых показателей состояния спортсменов сборной команды России в текущем режиме.</w:t>
      </w:r>
      <w:r>
        <w:rPr>
          <w:rFonts w:ascii="Arial Narrow" w:hAnsi="Arial Narrow" w:eastAsia="Arial Narrow" w:cs="Arial Narrow"/>
          <w:sz w:val="28"/>
          <w:szCs w:val="28"/>
          <w:lang w:eastAsia="en-US"/>
        </w:rPr>
      </w:r>
    </w:p>
    <w:p>
      <w:pPr>
        <w:pStyle w:val="1254"/>
        <w:numPr>
          <w:ilvl w:val="0"/>
          <w:numId w:val="229"/>
        </w:numPr>
        <w:ind w:left="0" w:firstLine="426"/>
        <w:jc w:val="both"/>
        <w:spacing w:before="60" w:after="240" w:line="274" w:lineRule="atLeast"/>
        <w:rPr>
          <w:rFonts w:ascii="Arial Narrow" w:hAnsi="Arial Narrow" w:eastAsia="Arial Narrow" w:cs="Arial Narrow"/>
          <w:sz w:val="28"/>
          <w:szCs w:val="28"/>
          <w:lang w:eastAsia="en-US"/>
        </w:rPr>
      </w:pPr>
      <w:r>
        <w:rPr>
          <w:rFonts w:ascii="Arial Narrow" w:hAnsi="Arial Narrow" w:eastAsia="Arial Narrow" w:cs="Arial Narrow"/>
          <w:sz w:val="28"/>
          <w:szCs w:val="28"/>
          <w:lang w:eastAsia="en-US"/>
        </w:rPr>
        <w:t xml:space="preserve">Продолжить работу по привлечению тренеров и специалистов для работы в ТШ как на постоянной, так и на временной основе. Привлекать иностранных специалистов высокого уровня для работы со сборной командой России.</w:t>
      </w:r>
      <w:r>
        <w:rPr>
          <w:rFonts w:ascii="Arial Narrow" w:hAnsi="Arial Narrow" w:eastAsia="Arial Narrow" w:cs="Arial Narrow"/>
          <w:sz w:val="28"/>
          <w:szCs w:val="28"/>
          <w:lang w:eastAsia="en-US"/>
        </w:rPr>
      </w:r>
    </w:p>
    <w:p>
      <w:pPr>
        <w:pStyle w:val="1254"/>
        <w:numPr>
          <w:ilvl w:val="0"/>
          <w:numId w:val="229"/>
        </w:numPr>
        <w:ind w:left="0" w:firstLine="426"/>
        <w:jc w:val="both"/>
        <w:spacing w:before="60" w:after="240" w:line="274" w:lineRule="atLeast"/>
        <w:rPr>
          <w:rFonts w:ascii="Arial Narrow" w:hAnsi="Arial Narrow" w:eastAsia="Arial Narrow" w:cs="Arial Narrow"/>
          <w:sz w:val="28"/>
          <w:szCs w:val="28"/>
          <w:lang w:eastAsia="en-US"/>
        </w:rPr>
      </w:pPr>
      <w:r>
        <w:rPr>
          <w:rFonts w:ascii="Arial Narrow" w:hAnsi="Arial Narrow" w:eastAsia="Arial Narrow" w:cs="Arial Narrow"/>
          <w:sz w:val="28"/>
          <w:szCs w:val="28"/>
          <w:lang w:eastAsia="en-US"/>
        </w:rPr>
        <w:t xml:space="preserve">Обеспечить системную работу специалистов по физиологии, психологии, биомеханике, мобильности суставов и других со спортсменами сборной команды России.</w:t>
      </w:r>
      <w:r>
        <w:rPr>
          <w:rFonts w:ascii="Arial Narrow" w:hAnsi="Arial Narrow" w:eastAsia="Arial Narrow" w:cs="Arial Narrow"/>
          <w:sz w:val="28"/>
          <w:szCs w:val="28"/>
          <w:lang w:eastAsia="en-US"/>
        </w:rPr>
      </w:r>
    </w:p>
    <w:p>
      <w:pPr>
        <w:pStyle w:val="1254"/>
        <w:numPr>
          <w:ilvl w:val="0"/>
          <w:numId w:val="229"/>
        </w:numPr>
        <w:ind w:left="0" w:firstLine="426"/>
        <w:jc w:val="both"/>
        <w:spacing w:before="60" w:after="240" w:line="274" w:lineRule="atLeast"/>
        <w:rPr>
          <w:rFonts w:ascii="Arial Narrow" w:hAnsi="Arial Narrow" w:eastAsia="Arial Narrow" w:cs="Arial Narrow"/>
          <w:sz w:val="28"/>
          <w:szCs w:val="28"/>
          <w:lang w:eastAsia="en-US"/>
        </w:rPr>
      </w:pPr>
      <w:r>
        <w:rPr>
          <w:rFonts w:ascii="Arial Narrow" w:hAnsi="Arial Narrow" w:eastAsia="Arial Narrow" w:cs="Arial Narrow"/>
          <w:sz w:val="28"/>
          <w:szCs w:val="28"/>
          <w:lang w:eastAsia="en-US"/>
        </w:rPr>
        <w:t xml:space="preserve">Обеспечить выполнение плана-прогноза спортивных достижений в соответствии с ЦКП 2025-2028гг.</w:t>
      </w:r>
      <w:r>
        <w:rPr>
          <w:rFonts w:ascii="Arial Narrow" w:hAnsi="Arial Narrow" w:eastAsia="Arial Narrow" w:cs="Arial Narrow"/>
          <w:sz w:val="28"/>
          <w:szCs w:val="28"/>
          <w:lang w:eastAsia="en-US"/>
        </w:rPr>
      </w:r>
    </w:p>
    <w:p>
      <w:pPr>
        <w:pStyle w:val="1247"/>
        <w:ind w:left="0"/>
        <w:jc w:val="both"/>
        <w:spacing w:before="144" w:after="240" w:line="276" w:lineRule="auto"/>
        <w:tabs>
          <w:tab w:val="left" w:pos="284" w:leader="none"/>
        </w:tabs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color w:val="365f91" w:themeColor="accent1" w:themeShade="BF"/>
          <w:sz w:val="28"/>
          <w:szCs w:val="28"/>
        </w:rPr>
        <w:t xml:space="preserve">ОБЕСПЕЧЕНИЕ СБОРНОЙ КОМАНДЫ</w:t>
      </w:r>
      <w:r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r>
    </w:p>
    <w:p>
      <w:pPr>
        <w:numPr>
          <w:ilvl w:val="0"/>
          <w:numId w:val="228"/>
        </w:numPr>
        <w:ind w:left="0" w:firstLine="426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Обеспечить оснащение спортсменов ОС-2028 необходимым инвентарем и оборудованием.</w:t>
      </w:r>
      <w:r>
        <w:rPr>
          <w:rFonts w:ascii="Arial Narrow" w:hAnsi="Arial Narrow" w:cs="Arial Narrow"/>
          <w:sz w:val="28"/>
          <w:szCs w:val="28"/>
        </w:rPr>
      </w:r>
    </w:p>
    <w:p>
      <w:pPr>
        <w:numPr>
          <w:ilvl w:val="0"/>
          <w:numId w:val="228"/>
        </w:numPr>
        <w:ind w:left="0" w:firstLine="426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Осуществлять текущее обновление материально-технической базы сборной команды России, стремиться к уровню обеспеченности не ниже национальных команд - мировых лидеров в скалолазании.</w:t>
      </w:r>
      <w:r>
        <w:rPr>
          <w:rFonts w:ascii="Arial Narrow" w:hAnsi="Arial Narrow" w:cs="Arial Narrow"/>
          <w:sz w:val="28"/>
          <w:szCs w:val="28"/>
        </w:rPr>
      </w:r>
    </w:p>
    <w:p>
      <w:pPr>
        <w:numPr>
          <w:ilvl w:val="0"/>
          <w:numId w:val="228"/>
        </w:numPr>
        <w:ind w:left="0" w:firstLine="426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  <w:lang w:eastAsia="ru-RU"/>
        </w:rPr>
        <w:t xml:space="preserve">Обеспечить качественное и современное медико-биологическое сопровождение спортсменов сборной команды России по скалолазанию.</w:t>
      </w:r>
      <w:r>
        <w:rPr>
          <w:rFonts w:ascii="Arial Narrow" w:hAnsi="Arial Narrow" w:cs="Arial Narrow"/>
          <w:sz w:val="28"/>
          <w:szCs w:val="28"/>
        </w:rPr>
      </w:r>
    </w:p>
    <w:p>
      <w:pPr>
        <w:numPr>
          <w:ilvl w:val="0"/>
          <w:numId w:val="228"/>
        </w:numPr>
        <w:ind w:left="0" w:firstLine="426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Обеспечить функционирование модулей “зона СФП”, “зона технико-физической подготовки”, модуля “отрезки скорость” на ключевых спортивных базах подготовки сборной команды России и в ведущих регионах.</w:t>
      </w:r>
      <w:r>
        <w:rPr>
          <w:rFonts w:ascii="Arial Narrow" w:hAnsi="Arial Narrow" w:cs="Arial Narrow"/>
          <w:sz w:val="28"/>
          <w:szCs w:val="28"/>
        </w:rPr>
      </w:r>
    </w:p>
    <w:p>
      <w:pPr>
        <w:pStyle w:val="1247"/>
        <w:ind w:left="0"/>
        <w:jc w:val="both"/>
        <w:spacing w:before="144" w:after="240" w:line="276" w:lineRule="auto"/>
        <w:tabs>
          <w:tab w:val="left" w:pos="284" w:leader="none"/>
        </w:tabs>
        <w:rPr>
          <w:rFonts w:ascii="Arial Narrow" w:hAnsi="Arial Narrow"/>
          <w:b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color w:val="365f91" w:themeColor="accent1" w:themeShade="BF"/>
          <w:sz w:val="28"/>
          <w:szCs w:val="28"/>
        </w:rPr>
      </w:r>
      <w:r>
        <w:rPr>
          <w:rFonts w:ascii="Arial Narrow" w:hAnsi="Arial Narrow"/>
          <w:b/>
          <w:color w:val="365f91" w:themeColor="accent1" w:themeShade="BF"/>
          <w:sz w:val="28"/>
          <w:szCs w:val="28"/>
        </w:rPr>
      </w:r>
    </w:p>
    <w:p>
      <w:pPr>
        <w:pStyle w:val="1247"/>
        <w:ind w:left="0"/>
        <w:jc w:val="both"/>
        <w:spacing w:before="144" w:after="240" w:line="276" w:lineRule="auto"/>
        <w:tabs>
          <w:tab w:val="left" w:pos="284" w:leader="none"/>
        </w:tabs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color w:val="365f91" w:themeColor="accent1" w:themeShade="BF"/>
          <w:sz w:val="28"/>
          <w:szCs w:val="28"/>
        </w:rPr>
        <w:t xml:space="preserve">СПОРТИВНЫЕ МЕРОПРИЯТИЯ</w:t>
      </w:r>
      <w:r>
        <w:rPr>
          <w:rFonts w:ascii="Arial Narrow" w:hAnsi="Arial Narrow"/>
          <w:b/>
          <w:bCs/>
          <w:color w:val="365f91" w:themeColor="accent1" w:themeShade="BF"/>
          <w:sz w:val="28"/>
          <w:szCs w:val="28"/>
        </w:rPr>
      </w:r>
    </w:p>
    <w:p>
      <w:pPr>
        <w:pStyle w:val="1247"/>
        <w:numPr>
          <w:ilvl w:val="0"/>
          <w:numId w:val="227"/>
        </w:numPr>
        <w:ind w:left="0" w:firstLine="284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Обеспечить внедрение в практику предложений ТШ по модернизации и совершенствованию проведения соревнований </w:t>
      </w:r>
      <w:r>
        <w:rPr>
          <w:rFonts w:ascii="Arial Narrow" w:hAnsi="Arial Narrow" w:eastAsia="Arial Narrow" w:cs="Arial Narrow"/>
          <w:sz w:val="28"/>
          <w:szCs w:val="28"/>
        </w:rPr>
        <w:t xml:space="preserve">1-2</w:t>
      </w:r>
      <w:r>
        <w:rPr>
          <w:rFonts w:ascii="Arial Narrow" w:hAnsi="Arial Narrow" w:eastAsia="Arial Narrow" w:cs="Arial Narrow"/>
          <w:sz w:val="28"/>
          <w:szCs w:val="28"/>
        </w:rPr>
        <w:t xml:space="preserve"> ранга.</w:t>
      </w:r>
      <w:r>
        <w:rPr>
          <w:rFonts w:ascii="Arial Narrow" w:hAnsi="Arial Narrow" w:cs="Arial Narrow"/>
          <w:sz w:val="28"/>
          <w:szCs w:val="28"/>
        </w:rPr>
      </w:r>
    </w:p>
    <w:p>
      <w:pPr>
        <w:pStyle w:val="1247"/>
        <w:numPr>
          <w:ilvl w:val="0"/>
          <w:numId w:val="227"/>
        </w:numPr>
        <w:ind w:left="0" w:firstLine="284"/>
        <w:jc w:val="both"/>
        <w:rPr>
          <w:rFonts w:ascii="Arial Narrow" w:hAnsi="Arial Narrow" w:eastAsia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Стремиться обеспечить участие спортсменов расширенного состава ОС-2028 в тренировочных мероприятиях и соревнованиях за рубежом, а также в России в условиях конкурентной среды с участием лидеров мирового скалолазания.</w:t>
      </w:r>
      <w:r>
        <w:rPr>
          <w:rFonts w:ascii="Arial Narrow" w:hAnsi="Arial Narrow" w:eastAsia="Arial Narrow" w:cs="Arial Narrow"/>
          <w:sz w:val="28"/>
          <w:szCs w:val="28"/>
        </w:rPr>
      </w:r>
    </w:p>
    <w:p>
      <w:pPr>
        <w:pStyle w:val="1247"/>
        <w:numPr>
          <w:ilvl w:val="0"/>
          <w:numId w:val="227"/>
        </w:numPr>
        <w:ind w:left="0" w:firstLine="284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Организовывать ежегодные тренировочные мероприятия в скальных районах с соответствующим уровнем сложности и разнообразия трасс, в том числе за рубежом, для спортсменов дисциплин “лазание на трудность” и “боулдеринг”.</w:t>
      </w:r>
      <w:r>
        <w:rPr>
          <w:rFonts w:ascii="Arial Narrow" w:hAnsi="Arial Narrow" w:cs="Arial Narrow"/>
          <w:sz w:val="28"/>
          <w:szCs w:val="28"/>
        </w:rPr>
      </w:r>
    </w:p>
    <w:p>
      <w:pPr>
        <w:pStyle w:val="1247"/>
        <w:numPr>
          <w:ilvl w:val="0"/>
          <w:numId w:val="227"/>
        </w:numPr>
        <w:ind w:left="0" w:firstLine="284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Осуществить запуск ежегодного проекта ФСР в формате статусного открытого международного т</w:t>
      </w:r>
      <w:r>
        <w:rPr>
          <w:rFonts w:ascii="Arial Narrow" w:hAnsi="Arial Narrow" w:eastAsia="Arial Narrow" w:cs="Arial Narrow"/>
          <w:sz w:val="28"/>
          <w:szCs w:val="28"/>
        </w:rPr>
        <w:t xml:space="preserve">урнира со значительным призовым фондом (х2 от чемпионата мира) для привлечения российских и иностранных спортсменов мирового уровня, создания конкурентной среды, мотивации спортсменов сборной России, повышения статуса ФСР на международной спортивной арене.</w:t>
      </w:r>
      <w:r>
        <w:rPr>
          <w:rFonts w:ascii="Arial Narrow" w:hAnsi="Arial Narrow" w:cs="Arial Narrow"/>
          <w:sz w:val="28"/>
          <w:szCs w:val="28"/>
        </w:rPr>
      </w:r>
    </w:p>
    <w:p>
      <w:pPr>
        <w:ind w:left="720"/>
        <w:jc w:val="both"/>
        <w:spacing w:after="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sz w:val="28"/>
          <w:szCs w:val="28"/>
        </w:rPr>
      </w:r>
      <w:r>
        <w:rPr>
          <w:rFonts w:ascii="Arial Narrow" w:hAnsi="Arial Narrow" w:cs="Arial Narrow"/>
          <w:sz w:val="28"/>
          <w:szCs w:val="28"/>
        </w:rPr>
      </w:r>
    </w:p>
    <w:p>
      <w:pPr>
        <w:pStyle w:val="1254"/>
        <w:ind w:left="720"/>
        <w:jc w:val="both"/>
        <w:spacing w:before="60" w:after="240" w:line="274" w:lineRule="atLeast"/>
        <w:rPr>
          <w:rFonts w:ascii="Arial Narrow" w:hAnsi="Arial Narrow" w:eastAsia="Arial Narrow" w:cs="Arial Narrow"/>
          <w:sz w:val="28"/>
          <w:szCs w:val="28"/>
          <w:lang w:eastAsia="en-US"/>
        </w:rPr>
      </w:pPr>
      <w:r>
        <w:rPr>
          <w:rFonts w:ascii="Arial Narrow" w:hAnsi="Arial Narrow" w:eastAsia="Arial Narrow" w:cs="Arial Narrow"/>
          <w:sz w:val="28"/>
          <w:szCs w:val="28"/>
          <w:lang w:eastAsia="en-US"/>
        </w:rPr>
      </w:r>
      <w:r>
        <w:rPr>
          <w:rFonts w:ascii="Arial Narrow" w:hAnsi="Arial Narrow" w:eastAsia="Arial Narrow" w:cs="Arial Narrow"/>
          <w:sz w:val="28"/>
          <w:szCs w:val="28"/>
          <w:lang w:eastAsia="en-US"/>
        </w:rPr>
      </w:r>
    </w:p>
    <w:p>
      <w:pPr>
        <w:pStyle w:val="1247"/>
        <w:ind w:left="0"/>
        <w:jc w:val="both"/>
        <w:spacing w:before="144" w:after="240" w:line="276" w:lineRule="auto"/>
        <w:tabs>
          <w:tab w:val="left" w:pos="284" w:leader="none"/>
        </w:tabs>
        <w:rPr>
          <w:rFonts w:ascii="Arial Narrow" w:hAnsi="Arial Narrow"/>
          <w:b/>
          <w:color w:val="365f91" w:themeColor="accent1" w:themeShade="BF"/>
          <w:sz w:val="28"/>
          <w:szCs w:val="28"/>
        </w:rPr>
      </w:pPr>
      <w:r>
        <w:rPr>
          <w:rFonts w:ascii="Arial Narrow" w:hAnsi="Arial Narrow"/>
          <w:b/>
          <w:color w:val="365f91" w:themeColor="accent1" w:themeShade="BF"/>
          <w:sz w:val="28"/>
          <w:szCs w:val="28"/>
        </w:rPr>
        <w:t xml:space="preserve">СПОРТИВНЫЙ РЕЗЕРВ </w:t>
      </w:r>
      <w:r>
        <w:rPr>
          <w:rFonts w:ascii="Arial Narrow" w:hAnsi="Arial Narrow"/>
          <w:b/>
          <w:color w:val="365f91" w:themeColor="accent1" w:themeShade="BF"/>
          <w:sz w:val="28"/>
          <w:szCs w:val="28"/>
        </w:rPr>
      </w:r>
    </w:p>
    <w:p>
      <w:pPr>
        <w:pStyle w:val="1247"/>
        <w:numPr>
          <w:ilvl w:val="0"/>
          <w:numId w:val="226"/>
        </w:numPr>
        <w:contextualSpacing w:val="0"/>
        <w:ind w:left="0" w:firstLine="284"/>
        <w:spacing w:before="144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Усовершенствовать</w:t>
      </w:r>
      <w:r>
        <w:rPr>
          <w:rFonts w:ascii="Arial Narrow" w:hAnsi="Arial Narrow"/>
          <w:sz w:val="28"/>
          <w:szCs w:val="28"/>
        </w:rPr>
        <w:t xml:space="preserve"> план проведения региональных и всероссийских детских и юношеских соревнований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26"/>
        </w:numPr>
        <w:contextualSpacing w:val="0"/>
        <w:ind w:left="0" w:firstLine="284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Утвердить плановые показатели по подготовке спортивного резерва.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26"/>
        </w:numPr>
        <w:contextualSpacing w:val="0"/>
        <w:ind w:left="0" w:firstLine="284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мотивационные программы для перспективных спортсменов.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26"/>
        </w:numPr>
        <w:contextualSpacing w:val="0"/>
        <w:ind w:left="0" w:firstLine="284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Совершенствование федерального стандарта спортивной подготовки с учетом внедрения современных методик и инвентаря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26"/>
        </w:numPr>
        <w:contextualSpacing w:val="0"/>
        <w:ind w:left="0" w:firstLine="284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пошаговую «Дорожную ка</w:t>
      </w:r>
      <w:r>
        <w:rPr>
          <w:rFonts w:ascii="Arial Narrow" w:hAnsi="Arial Narrow"/>
          <w:sz w:val="28"/>
          <w:szCs w:val="28"/>
        </w:rPr>
        <w:t xml:space="preserve">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 w:line="360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  <w:highlight w:val="green"/>
        </w:rPr>
      </w:pPr>
      <w:r>
        <w:rPr>
          <w:rFonts w:ascii="Arial Narrow" w:hAnsi="Arial Narrow"/>
          <w:b/>
          <w:color w:val="1f497d" w:themeColor="text2"/>
          <w:sz w:val="28"/>
          <w:szCs w:val="28"/>
          <w:highlight w:val="green"/>
        </w:rPr>
      </w:r>
      <w:r>
        <w:rPr>
          <w:rFonts w:ascii="Arial Narrow" w:hAnsi="Arial Narrow"/>
          <w:b/>
          <w:color w:val="1f497d" w:themeColor="text2"/>
          <w:sz w:val="28"/>
          <w:szCs w:val="28"/>
          <w:highlight w:val="green"/>
        </w:rPr>
      </w:r>
    </w:p>
    <w:p>
      <w:pPr>
        <w:jc w:val="both"/>
        <w:spacing w:before="60" w:after="0" w:line="360" w:lineRule="auto"/>
        <w:tabs>
          <w:tab w:val="left" w:pos="284" w:leader="none"/>
        </w:tabs>
        <w:rPr>
          <w:rFonts w:ascii="Arial Narrow" w:hAnsi="Arial Narrow"/>
          <w:b/>
          <w:bCs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  <w:t xml:space="preserve">КАДРОВЫЙ ПОТЕНЦИАЛ</w:t>
      </w:r>
      <w:r>
        <w:rPr>
          <w:rFonts w:ascii="Arial Narrow" w:hAnsi="Arial Narrow"/>
          <w:b/>
          <w:bCs/>
          <w:color w:val="1f497d" w:themeColor="text2"/>
          <w:sz w:val="28"/>
          <w:szCs w:val="28"/>
        </w:rPr>
      </w:r>
    </w:p>
    <w:p>
      <w:pPr>
        <w:pStyle w:val="1247"/>
        <w:numPr>
          <w:ilvl w:val="0"/>
          <w:numId w:val="226"/>
        </w:numPr>
        <w:ind w:left="0" w:firstLine="284"/>
        <w:jc w:val="both"/>
        <w:rPr>
          <w:rFonts w:ascii="Arial Narrow" w:hAnsi="Arial Narrow" w:eastAsia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Обеспечить меры поддержки (премирования) штатных тренеров и специалистов тренерского штаба, в том числе за результаты, показанные спортсменами сборной команды России на официальных международных соревнованиях.</w:t>
      </w:r>
      <w:r>
        <w:rPr>
          <w:rFonts w:ascii="Arial Narrow" w:hAnsi="Arial Narrow" w:eastAsia="Arial Narrow" w:cs="Arial Narrow"/>
          <w:sz w:val="28"/>
          <w:szCs w:val="28"/>
        </w:rPr>
      </w:r>
    </w:p>
    <w:p>
      <w:pPr>
        <w:pStyle w:val="1247"/>
        <w:numPr>
          <w:ilvl w:val="0"/>
          <w:numId w:val="226"/>
        </w:numPr>
        <w:ind w:left="0" w:firstLine="284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eastAsia="Arial Narrow" w:cs="Arial Narrow"/>
          <w:sz w:val="28"/>
          <w:szCs w:val="28"/>
        </w:rPr>
        <w:t xml:space="preserve">Продолжить разработку методических материалов, развивать информационную методическую базу ТШ, обеспечить ее доступность для тренеров по скалолазанию в регионах. </w:t>
      </w:r>
      <w:r>
        <w:rPr>
          <w:rFonts w:ascii="Arial Narrow" w:hAnsi="Arial Narrow" w:cs="Arial Narrow"/>
          <w:sz w:val="28"/>
          <w:szCs w:val="28"/>
        </w:rPr>
      </w:r>
    </w:p>
    <w:p>
      <w:pPr>
        <w:pStyle w:val="1247"/>
        <w:contextualSpacing w:val="0"/>
        <w:ind w:left="284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 w:line="360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  <w:t xml:space="preserve">СОТРУДНИЧЕСТВО И ПАРТНЕРСТВО</w:t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Определить цели и задачи сотрудничества: что мы хотим достичь через партнерство или спонсорство. 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Утвердить план участия в национальных проектах и федеральных целевых программах в области спорта, а также установления партнерских отношений с </w:t>
      </w:r>
      <w:r>
        <w:rPr>
          <w:rFonts w:ascii="Arial Narrow" w:hAnsi="Arial Narrow"/>
          <w:sz w:val="28"/>
          <w:szCs w:val="28"/>
        </w:rPr>
        <w:t xml:space="preserve">государственными органами управления и общественными организациями в области спорта.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Создать команду для активного поиска и установления партнерских отношений с компаниями, разделяющими ценности и цели Федерации, вида спорта и </w:t>
      </w:r>
      <w:r>
        <w:rPr>
          <w:rFonts w:ascii="Arial Narrow" w:hAnsi="Arial Narrow"/>
          <w:sz w:val="28"/>
          <w:szCs w:val="28"/>
        </w:rPr>
        <w:t xml:space="preserve">спортивного сообщества</w:t>
      </w:r>
      <w:r>
        <w:rPr>
          <w:rFonts w:ascii="Arial Narrow" w:hAnsi="Arial Narrow"/>
          <w:sz w:val="28"/>
          <w:szCs w:val="28"/>
        </w:rPr>
        <w:t xml:space="preserve">.  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Сформировать план взаимодействия с международными, национальными и региональными спонсорами и партнерами для расширения финансовых возможностей и повышения привлекательности скалолазания в мировом масштабе.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Классифицировать спонсоров и партнеров</w:t>
      </w:r>
      <w:r>
        <w:rPr>
          <w:rFonts w:ascii="Arial Narrow" w:hAnsi="Arial Narrow"/>
          <w:sz w:val="28"/>
          <w:szCs w:val="28"/>
        </w:rPr>
        <w:t xml:space="preserve">: создать</w:t>
      </w:r>
      <w:r>
        <w:rPr>
          <w:rFonts w:ascii="Arial Narrow" w:hAnsi="Arial Narrow"/>
          <w:sz w:val="28"/>
          <w:szCs w:val="28"/>
        </w:rPr>
        <w:t xml:space="preserve"> классификатор, основанный на различных критериях, таких как отрасль, размер компании, географическое расположение и </w:t>
      </w:r>
      <w:r>
        <w:rPr>
          <w:rFonts w:ascii="Arial Narrow" w:hAnsi="Arial Narrow"/>
          <w:sz w:val="28"/>
          <w:szCs w:val="28"/>
        </w:rPr>
        <w:t xml:space="preserve">т.д</w:t>
      </w:r>
      <w:r>
        <w:rPr>
          <w:rFonts w:ascii="Arial Narrow" w:hAnsi="Arial Narrow"/>
          <w:sz w:val="28"/>
          <w:szCs w:val="28"/>
        </w:rPr>
        <w:t xml:space="preserve">.</w:t>
      </w:r>
      <w:r>
        <w:rPr>
          <w:rFonts w:ascii="Arial Narrow" w:hAnsi="Arial Narrow"/>
          <w:sz w:val="28"/>
          <w:szCs w:val="28"/>
        </w:rPr>
        <w:t xml:space="preserve">, что </w:t>
      </w:r>
      <w:r>
        <w:rPr>
          <w:rFonts w:ascii="Arial Narrow" w:hAnsi="Arial Narrow"/>
          <w:sz w:val="28"/>
          <w:szCs w:val="28"/>
        </w:rPr>
        <w:t xml:space="preserve">поможет систематизировать информацию и легче выбрать подходящих кандидатов.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партнерские программы с компаниями, заинтересованными в поддержке скалолазания.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Актуализировать технологию привлечения внебюджетных средств.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и утвердить ключевые факторы для оформления договорных отношений и методологию по заключению партнерских соглашений по каждому из направлений.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презентационные и информационные материалы для спонсоров и партнеров исходя из всех направлений Федерации.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26"/>
        </w:numPr>
        <w:ind w:left="0" w:firstLine="284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пошаговую «Дорожную к</w:t>
      </w:r>
      <w:r>
        <w:rPr>
          <w:rFonts w:ascii="Arial Narrow" w:hAnsi="Arial Narrow"/>
          <w:sz w:val="28"/>
          <w:szCs w:val="28"/>
        </w:rPr>
        <w:t xml:space="preserve">арту»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ind w:left="360"/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</w:pPr>
      <w:r/>
      <w:r/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jc w:val="both"/>
        <w:spacing w:before="6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</w: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1536"/>
        <w:gridCol w:w="8101"/>
      </w:tblGrid>
      <w:tr>
        <w:tblPrEx/>
        <w:trPr/>
        <w:tc>
          <w:tcPr>
            <w:tcW w:w="1536" w:type="dxa"/>
            <w:vAlign w:val="center"/>
            <w:textDirection w:val="lrTb"/>
            <w:noWrap w:val="false"/>
          </w:tcPr>
          <w:p>
            <w:pPr>
              <w:spacing w:before="60" w:after="0" w:line="240" w:lineRule="auto"/>
              <w:widowControl w:val="off"/>
              <w:tabs>
                <w:tab w:val="left" w:pos="284" w:leader="none"/>
              </w:tabs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38200" cy="754380"/>
                      <wp:effectExtent l="0" t="0" r="0" b="0"/>
                      <wp:docPr id="54" name="Рисунок 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" name="Рисунок 5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38200" cy="7543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" o:spid="_x0000_s57" type="#_x0000_t75" style="width:66.00pt;height:59.40pt;mso-wrap-distance-left:0.00pt;mso-wrap-distance-top:0.00pt;mso-wrap-distance-right:0.00pt;mso-wrap-distance-bottom:0.00pt;" stroked="false">
                      <v:path textboxrect="0,0,0,0"/>
                      <v:imagedata r:id="rId52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d6e3bc" w:themeFill="accent3" w:themeFillTint="66"/>
            <w:tcW w:w="8100" w:type="dxa"/>
            <w:textDirection w:val="lrTb"/>
            <w:noWrap w:val="false"/>
          </w:tcPr>
          <w:p>
            <w:pPr>
              <w:spacing w:before="6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202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9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-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20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30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ПРИОРИТЕТ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Narrow" w:hAnsi="Arial Narrow" w:eastAsia="Arial" w:cs="Arial"/>
                <w:color w:val="ffffff"/>
                <w:sz w:val="32"/>
                <w:szCs w:val="32"/>
                <w:lang w:eastAsia="ru-RU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-  УПРАВЛЕНИЕ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60" w:after="0" w:line="240" w:lineRule="auto"/>
              <w:widowControl w:val="off"/>
              <w:tabs>
                <w:tab w:val="left" w:pos="284" w:leader="none"/>
              </w:tabs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</w:p>
          <w:p>
            <w:pPr>
              <w:pStyle w:val="1247"/>
              <w:numPr>
                <w:ilvl w:val="0"/>
                <w:numId w:val="164"/>
              </w:numPr>
              <w:ind w:left="0" w:firstLine="0"/>
              <w:jc w:val="both"/>
              <w:spacing w:before="60" w:line="276" w:lineRule="auto"/>
              <w:widowControl w:val="off"/>
              <w:tabs>
                <w:tab w:val="left" w:pos="284" w:leader="none"/>
              </w:tabs>
              <w:rPr>
                <w:rFonts w:ascii="Arial Narrow" w:hAnsi="Arial Narrow"/>
                <w:b/>
                <w:sz w:val="28"/>
                <w:szCs w:val="28"/>
                <w:lang w:eastAsia="en-US"/>
              </w:rPr>
            </w:pPr>
            <w:r>
              <w:rPr>
                <w:rFonts w:ascii="Arial Narrow" w:hAnsi="Arial Narrow"/>
                <w:b/>
                <w:color w:val="002060"/>
                <w:sz w:val="28"/>
                <w:szCs w:val="28"/>
                <w:lang w:eastAsia="en-US"/>
              </w:rPr>
              <w:t xml:space="preserve">ЭТАП. РАЗВИТИЕ</w:t>
            </w:r>
            <w:r>
              <w:rPr>
                <w:rFonts w:ascii="Arial Narrow" w:hAnsi="Arial Narrow"/>
                <w:b/>
                <w:sz w:val="28"/>
                <w:szCs w:val="28"/>
                <w:lang w:eastAsia="en-US"/>
              </w:rPr>
            </w:r>
          </w:p>
        </w:tc>
      </w:tr>
    </w:tbl>
    <w:p>
      <w:pPr>
        <w:jc w:val="both"/>
        <w:spacing w:before="6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 w:after="0" w:line="360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  <w:t xml:space="preserve">БРЕНД ФСР</w:t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pStyle w:val="1246"/>
        <w:numPr>
          <w:ilvl w:val="0"/>
          <w:numId w:val="211"/>
        </w:numPr>
        <w:jc w:val="both"/>
        <w:spacing w:before="60"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бренд-стратегию и утвердить план проведения мероприятий, продакшена для повышения рейтинга ФСР среди других федераций.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11"/>
        </w:numPr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комплект брендовой документации, адаптировать бренд-бук ФСР, с учетом интересов региональных федераций и стратегии развития ФСР.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11"/>
        </w:numPr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и утвердить набор бренд-компонентов и фирменной символики, виды сувенирной продукции.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11"/>
        </w:numPr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план продвижения ФСР и региональных федераций, используя каналы и способы повышения узнаваемости бренда. 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11"/>
        </w:numPr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методические рекомендации по развитию бренда и репутации региональной федерации на региональном уровне.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11"/>
        </w:numPr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пошаговую «Дорожную к</w:t>
      </w:r>
      <w:r>
        <w:rPr>
          <w:rFonts w:ascii="Arial Narrow" w:hAnsi="Arial Narrow"/>
          <w:sz w:val="28"/>
          <w:szCs w:val="28"/>
        </w:rPr>
        <w:t xml:space="preserve">арту»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11"/>
        </w:numPr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Создать нативную рекламу бренда, которая напрямую будет ассоциироваться со скалолазанием. </w:t>
      </w:r>
      <w:r>
        <w:rPr>
          <w:rFonts w:ascii="Arial Narrow" w:hAnsi="Arial Narrow"/>
          <w:sz w:val="28"/>
          <w:szCs w:val="28"/>
        </w:rPr>
      </w:r>
    </w:p>
    <w:p>
      <w:pPr>
        <w:pStyle w:val="1246"/>
        <w:numPr>
          <w:ilvl w:val="0"/>
          <w:numId w:val="211"/>
        </w:numPr>
        <w:jc w:val="both"/>
        <w:spacing w:beforeAutospacing="0" w:after="0" w:afterAutospacing="0" w:line="274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Определить ряд лиц и план по развитию </w:t>
      </w:r>
      <w:r>
        <w:rPr>
          <w:rFonts w:ascii="Arial Narrow" w:hAnsi="Arial Narrow"/>
          <w:sz w:val="28"/>
          <w:szCs w:val="28"/>
        </w:rPr>
        <w:t xml:space="preserve">инфлюенсеров</w:t>
      </w:r>
      <w:r>
        <w:rPr>
          <w:rFonts w:ascii="Arial Narrow" w:hAnsi="Arial Narrow"/>
          <w:sz w:val="28"/>
          <w:szCs w:val="28"/>
        </w:rPr>
        <w:t xml:space="preserve"> в скалолазании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contextualSpacing w:val="0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  <w:highlight w:val="magenta"/>
        </w:rPr>
      </w:pPr>
      <w:r>
        <w:rPr>
          <w:rFonts w:ascii="Arial Narrow" w:hAnsi="Arial Narrow"/>
          <w:sz w:val="28"/>
          <w:szCs w:val="28"/>
          <w:highlight w:val="magenta"/>
        </w:rPr>
      </w:r>
      <w:r>
        <w:rPr>
          <w:rFonts w:ascii="Arial Narrow" w:hAnsi="Arial Narrow"/>
          <w:sz w:val="28"/>
          <w:szCs w:val="28"/>
          <w:highlight w:val="magenta"/>
        </w:rPr>
      </w:r>
    </w:p>
    <w:p>
      <w:pPr>
        <w:jc w:val="both"/>
        <w:spacing w:before="60" w:after="0" w:line="360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  <w:t xml:space="preserve">ПОПУЛЯРИЗАЦИЯ СКАЛОЛАЗАНИЯ</w:t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pStyle w:val="1247"/>
        <w:numPr>
          <w:ilvl w:val="0"/>
          <w:numId w:val="232"/>
        </w:numPr>
        <w:contextualSpacing w:val="0"/>
        <w:ind w:left="284" w:firstLine="0"/>
        <w:jc w:val="both"/>
        <w:spacing w:before="60"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Рассмотреть план спортивно-массовых мероприятий, фестивалей и соревнований, проводимых на региональном и федеральном уровне, выделить активности, направленные на поддержку и популяризацию скалолазания.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33"/>
        </w:numPr>
        <w:contextualSpacing w:val="0"/>
        <w:ind w:left="284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планы по информационной поддержке и продвижению скалолазания через средства массовой информации и общественности для привлечения новых любителей, и болельщиков.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33"/>
        </w:numPr>
        <w:contextualSpacing w:val="0"/>
        <w:ind w:left="284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Определить перечень других видов спорта, через взаимодействие с которыми возможна совместная популяризация здорового образа жизни и занятий спортом.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33"/>
        </w:numPr>
        <w:contextualSpacing w:val="0"/>
        <w:ind w:left="284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и реализовать </w:t>
      </w:r>
      <w:r>
        <w:rPr>
          <w:rFonts w:ascii="Arial Narrow" w:hAnsi="Arial Narrow"/>
          <w:sz w:val="28"/>
          <w:szCs w:val="28"/>
        </w:rPr>
        <w:t xml:space="preserve">комплекс мер по привлечению известных российских спортсменов и спортивных специалистов для широкого вовлечения детей в систематические занятия спортом, формирования у них культуры здорового образа жизни, а также патриотического воспитания юных спортсменов.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33"/>
        </w:numPr>
        <w:contextualSpacing w:val="0"/>
        <w:ind w:left="284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привлекательные «пакетные предложения» и программы лояльности для физических и юридических лиц (любители скалолазания, сотрудники корпоративных партнеров, туристические агентства и пр.).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33"/>
        </w:numPr>
        <w:contextualSpacing w:val="0"/>
        <w:ind w:left="284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Проводить мероприятия по популяризации детско-юношеского спорта в</w:t>
      </w:r>
      <w:r>
        <w:rPr>
          <w:rFonts w:ascii="Arial Narrow" w:hAnsi="Arial Narrow"/>
          <w:sz w:val="28"/>
          <w:szCs w:val="28"/>
        </w:rPr>
        <w:t xml:space="preserve"> социальных сетях и в информационно-телекоммуникационной сети "Интернет", в том числе посредством интеграции спортсменов и блогеров, создания интернет-челленджей и видеоконтента, направленных на популяризацию здорового образа жизни и физической активности.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284"/>
        <w:jc w:val="both"/>
        <w:spacing w:before="6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пошаговую «Дорожную к</w:t>
      </w:r>
      <w:r>
        <w:rPr>
          <w:rFonts w:ascii="Arial Narrow" w:hAnsi="Arial Narrow"/>
          <w:sz w:val="28"/>
          <w:szCs w:val="28"/>
        </w:rPr>
        <w:t xml:space="preserve">арту»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60" w:after="240" w:line="276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pStyle w:val="1247"/>
        <w:ind w:left="0"/>
        <w:jc w:val="both"/>
        <w:spacing w:before="60" w:after="240" w:line="276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pStyle w:val="1247"/>
        <w:ind w:left="0"/>
        <w:jc w:val="both"/>
        <w:spacing w:before="60" w:after="240" w:line="276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pStyle w:val="1247"/>
        <w:ind w:left="0"/>
        <w:jc w:val="both"/>
        <w:spacing w:before="60" w:after="240" w:line="276" w:lineRule="auto"/>
        <w:tabs>
          <w:tab w:val="left" w:pos="284" w:leader="none"/>
        </w:tabs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  <w:t xml:space="preserve">СОЦИАЛЬНАЯ ОТВЕТСТВЕННОСТЬ</w:t>
      </w:r>
      <w:r>
        <w:rPr>
          <w:rFonts w:ascii="Arial Narrow" w:hAnsi="Arial Narrow"/>
          <w:b/>
          <w:color w:val="1f497d" w:themeColor="text2"/>
          <w:sz w:val="28"/>
          <w:szCs w:val="28"/>
        </w:rPr>
      </w:r>
    </w:p>
    <w:p>
      <w:pPr>
        <w:pStyle w:val="1247"/>
        <w:numPr>
          <w:ilvl w:val="0"/>
          <w:numId w:val="178"/>
        </w:numPr>
        <w:contextualSpacing w:val="0"/>
        <w:ind w:left="0" w:firstLine="0"/>
        <w:jc w:val="both"/>
        <w:spacing w:before="60" w:line="276" w:lineRule="auto"/>
        <w:tabs>
          <w:tab w:val="left" w:pos="284" w:leader="none"/>
        </w:tabs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Разработать и реализовать комплекс мер развития адаптивного скалолазания в регионах. Поддерживать условия для занятий скалолазанием для лиц с ограниченными физическими возможностями.</w:t>
      </w:r>
      <w:r>
        <w:rPr>
          <w:rFonts w:ascii="Arial Narrow" w:hAnsi="Arial Narrow"/>
          <w:bCs/>
          <w:sz w:val="28"/>
          <w:szCs w:val="28"/>
        </w:rPr>
      </w:r>
    </w:p>
    <w:p>
      <w:pPr>
        <w:pStyle w:val="1247"/>
        <w:numPr>
          <w:ilvl w:val="0"/>
          <w:numId w:val="180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bCs/>
          <w:color w:val="ff0000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Разработать Политику социальной ответственности ФСР, с учетом задач продвижения спортивных и социальных ценностей на федеральном и региональном уровне, соблюдения экологических стандартов и принципов сохранения природы.</w:t>
      </w:r>
      <w:r>
        <w:rPr>
          <w:rFonts w:ascii="Arial Narrow" w:hAnsi="Arial Narrow"/>
          <w:bCs/>
          <w:color w:val="ff0000"/>
          <w:sz w:val="28"/>
          <w:szCs w:val="28"/>
        </w:rPr>
      </w:r>
    </w:p>
    <w:p>
      <w:pPr>
        <w:pStyle w:val="1247"/>
        <w:numPr>
          <w:ilvl w:val="0"/>
          <w:numId w:val="180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bCs/>
          <w:color w:val="ff0000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Составить пошаговую «Дорожную к</w:t>
      </w:r>
      <w:r>
        <w:rPr>
          <w:rFonts w:ascii="Arial Narrow" w:hAnsi="Arial Narrow"/>
          <w:bCs/>
          <w:sz w:val="28"/>
          <w:szCs w:val="28"/>
        </w:rPr>
        <w:t xml:space="preserve">арту»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/>
          <w:bCs/>
          <w:color w:val="ff0000"/>
          <w:sz w:val="28"/>
          <w:szCs w:val="28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before="144" w:after="240" w:line="276" w:lineRule="auto"/>
        <w:tabs>
          <w:tab w:val="left" w:pos="284" w:leader="none"/>
        </w:tabs>
        <w:rPr>
          <w:rFonts w:ascii="Arial Narrow" w:hAnsi="Arial Narrow"/>
          <w:b/>
          <w:bCs/>
          <w:color w:val="1f497d" w:themeColor="text2"/>
          <w:sz w:val="28"/>
          <w:szCs w:val="28"/>
        </w:rPr>
      </w:pPr>
      <w:r>
        <w:rPr>
          <w:rFonts w:ascii="Arial Narrow" w:hAnsi="Arial Narrow"/>
          <w:b/>
          <w:bCs/>
          <w:color w:val="1f497d" w:themeColor="text2"/>
          <w:sz w:val="28"/>
          <w:szCs w:val="28"/>
        </w:rPr>
        <w:t xml:space="preserve">ИССЛЕДОВАНИЯ И МЕТОДОЛОГИЯ</w:t>
      </w:r>
      <w:r>
        <w:rPr>
          <w:rFonts w:ascii="Arial Narrow" w:hAnsi="Arial Narrow"/>
          <w:b/>
          <w:bCs/>
          <w:color w:val="1f497d" w:themeColor="text2"/>
          <w:sz w:val="28"/>
          <w:szCs w:val="28"/>
        </w:rPr>
      </w:r>
    </w:p>
    <w:p>
      <w:pPr>
        <w:pStyle w:val="1247"/>
        <w:numPr>
          <w:ilvl w:val="0"/>
          <w:numId w:val="206"/>
        </w:numPr>
        <w:contextualSpacing w:val="0"/>
        <w:ind w:left="0" w:firstLine="0"/>
        <w:jc w:val="both"/>
        <w:spacing w:before="144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Обеспечить мониторинг и изучение передового опыта, методик, современных технологий и практик, применяемых в подготовке спортсменов - лидеров мирового скалолазания зарубежными коллегами.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07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Поддерживать на постоянном уровне взаимодействие с образовательными и научно-исследовательскими учреждениями с целью участия в исследованиях, разработки образовательных программ и методик.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07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Обеспечить проведение и участие ТШ (КНГ) в форумах, круглых столах, семинарах и </w:t>
      </w:r>
      <w:r>
        <w:rPr>
          <w:rFonts w:ascii="Arial Narrow" w:hAnsi="Arial Narrow"/>
          <w:sz w:val="28"/>
          <w:szCs w:val="28"/>
        </w:rPr>
        <w:t xml:space="preserve">т.п.</w:t>
      </w:r>
      <w:r>
        <w:rPr>
          <w:rFonts w:ascii="Arial Narrow" w:hAnsi="Arial Narrow"/>
          <w:sz w:val="28"/>
          <w:szCs w:val="28"/>
        </w:rPr>
        <w:t xml:space="preserve"> с целью обучения, обмена опытом, получения обратной связи и стимулирования генерации идей участников скалолазного сообщества России.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07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Продолжить разработку методических материалов, развивать информационную методическую базу ТШ, обеспечить ее доступность для тренеров по скалолазанию в регионах.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07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пошаговую «Дорожную ка</w:t>
      </w:r>
      <w:r>
        <w:rPr>
          <w:rFonts w:ascii="Arial Narrow" w:hAnsi="Arial Narrow"/>
          <w:sz w:val="28"/>
          <w:szCs w:val="28"/>
        </w:rPr>
        <w:t xml:space="preserve">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contextualSpacing w:val="0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/>
        <w:tabs>
          <w:tab w:val="left" w:pos="284" w:leader="none"/>
        </w:tabs>
        <w:rPr>
          <w:rFonts w:ascii="Arial Narrow" w:hAnsi="Arial Narrow" w:eastAsia="Times New Roman" w:cs="Times New Roman"/>
          <w:b/>
          <w:bCs/>
          <w:color w:val="1f497d" w:themeColor="text2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СИСТЕМА УПРАВЛЕНИЯ</w:t>
      </w:r>
      <w:r>
        <w:rPr>
          <w:rFonts w:ascii="Arial Narrow" w:hAnsi="Arial Narrow" w:eastAsia="Times New Roman" w:cs="Times New Roman"/>
          <w:b/>
          <w:bCs/>
          <w:color w:val="1f497d" w:themeColor="text2"/>
          <w:sz w:val="28"/>
          <w:szCs w:val="28"/>
          <w:lang w:eastAsia="ru-RU"/>
        </w:rPr>
      </w:r>
    </w:p>
    <w:p>
      <w:pPr>
        <w:pStyle w:val="1247"/>
        <w:numPr>
          <w:ilvl w:val="0"/>
          <w:numId w:val="186"/>
        </w:numPr>
        <w:contextualSpacing w:val="0"/>
        <w:ind w:left="0" w:firstLine="0"/>
        <w:jc w:val="both"/>
        <w:spacing w:before="6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и утвердить единую бизнес-модель для ФСР и регионов.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87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Утвердить организационно-штатную и организационно-функциональную структуры ФСР, распределить должностные обязанности. Выработать рекомендации по формированию структуры управления для региональных федераций.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88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Сформировать план оценки потребности в организационно-финансовом обеспечении, внедрить систему «сквозного бюджетирования»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89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план регулярных рабочих встреч «центр-регионы», для обмена информацией, получения обратной связи, оказания методологической, экспертной, юридической и </w:t>
      </w:r>
      <w:r>
        <w:rPr>
          <w:rFonts w:ascii="Arial Narrow" w:hAnsi="Arial Narrow"/>
          <w:sz w:val="28"/>
          <w:szCs w:val="28"/>
          <w:lang w:val="en-US"/>
        </w:rPr>
        <w:t xml:space="preserve">GR</w:t>
      </w:r>
      <w:r>
        <w:rPr>
          <w:rFonts w:ascii="Arial Narrow" w:hAnsi="Arial Narrow"/>
          <w:sz w:val="28"/>
          <w:szCs w:val="28"/>
        </w:rPr>
        <w:t xml:space="preserve">-поддержки представителям региональных федераций.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0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и внедрить программу обучения и развития руководителей всех уровней для совершенствования управленческих навыков.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1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Разработать и внедрить систему регулярного мониторинга и контроля показателей по реализации Концепции.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2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Сформировать предложения по внедрению элементов системы управления по ценностям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3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Составить пошаговую «Дорожную к</w:t>
      </w:r>
      <w:r>
        <w:rPr>
          <w:rFonts w:ascii="Arial Narrow" w:hAnsi="Arial Narrow"/>
          <w:sz w:val="28"/>
          <w:szCs w:val="28"/>
        </w:rPr>
        <w:t xml:space="preserve">арту»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144"/>
        <w:tabs>
          <w:tab w:val="left" w:pos="284" w:leader="none"/>
        </w:tabs>
        <w:rPr>
          <w:rFonts w:ascii="Arial Narrow" w:hAnsi="Arial Narrow" w:eastAsia="Times New Roman" w:cs="Times New Roman"/>
          <w:b/>
          <w:bCs/>
          <w:color w:val="1f497d" w:themeColor="text2"/>
          <w:sz w:val="28"/>
          <w:szCs w:val="28"/>
          <w:lang w:eastAsia="ru-RU"/>
        </w:rPr>
      </w:pPr>
      <w:r>
        <w:rPr>
          <w:rFonts w:ascii="Arial Narrow" w:hAnsi="Arial Narrow" w:eastAsia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ЦИФРОВАЯ ТРАНСФОРМАЦИЯ</w:t>
      </w:r>
      <w:r>
        <w:rPr>
          <w:rFonts w:ascii="Arial Narrow" w:hAnsi="Arial Narrow" w:eastAsia="Times New Roman" w:cs="Times New Roman"/>
          <w:b/>
          <w:bCs/>
          <w:color w:val="1f497d" w:themeColor="text2"/>
          <w:sz w:val="28"/>
          <w:szCs w:val="28"/>
          <w:lang w:eastAsia="ru-RU"/>
        </w:rPr>
      </w:r>
    </w:p>
    <w:p>
      <w:pPr>
        <w:jc w:val="both"/>
        <w:spacing w:before="144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1. Разработать и ввести в работу новый сайт ФСР.  Сформировать концепцию сайта региональной федерации.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144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  Создать единую платформу ФСР (база данных, обмен данными, хранение документации и пр.)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144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  Модернизировать имеющееся ИТ-оборудование и программное обеспечение.  Оценить целесообразность внедрения и при необходимости внедрить CRM-систему.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144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4. Разработать план цифровизации с целью интеграции информационной системы ФСР в единую цифровую платформу спортивной отрасли (при наличии).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144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5.  Составить пошаговую «Дорожную к</w:t>
      </w:r>
      <w:r>
        <w:rPr>
          <w:rFonts w:ascii="Arial Narrow" w:hAnsi="Arial Narrow"/>
          <w:sz w:val="28"/>
          <w:szCs w:val="28"/>
        </w:rPr>
        <w:t xml:space="preserve">арту» реализации мероприятий по данному направлению, с указанием ответственных и участников, выделением ключевых этапов (подготовительные мероприятия, анализ, реализация, контроль и пр.), а также с учетом последовательности действий и сроков их исполнения.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144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4"/>
        </w:numPr>
        <w:ind w:left="0" w:firstLine="0"/>
        <w:jc w:val="both"/>
        <w:spacing w:before="60" w:line="276" w:lineRule="auto"/>
        <w:shd w:val="clear" w:color="auto" w:fill="eaf1dd" w:themeFill="accent3" w:themeFillTint="33"/>
        <w:tabs>
          <w:tab w:val="left" w:pos="284" w:leader="none"/>
        </w:tabs>
        <w:rPr>
          <w:rFonts w:ascii="Arial Narrow" w:hAnsi="Arial Narrow"/>
          <w:b/>
          <w:color w:val="002060"/>
          <w:sz w:val="28"/>
          <w:szCs w:val="28"/>
        </w:rPr>
      </w:pPr>
      <w:r>
        <w:rPr>
          <w:rFonts w:ascii="Arial Narrow" w:hAnsi="Arial Narrow"/>
          <w:b/>
          <w:color w:val="002060"/>
          <w:sz w:val="28"/>
          <w:szCs w:val="28"/>
        </w:rPr>
        <w:t xml:space="preserve">ЭТАП. УСТОЙЧИВОСТЬ. </w:t>
      </w:r>
      <w:r>
        <w:rPr>
          <w:rFonts w:ascii="Arial Narrow" w:hAnsi="Arial Narrow"/>
          <w:b/>
          <w:color w:val="002060"/>
          <w:sz w:val="28"/>
          <w:szCs w:val="28"/>
        </w:rPr>
        <w:t xml:space="preserve">203</w:t>
      </w:r>
      <w:r>
        <w:rPr>
          <w:rFonts w:ascii="Arial Narrow" w:hAnsi="Arial Narrow"/>
          <w:b/>
          <w:color w:val="002060"/>
          <w:sz w:val="28"/>
          <w:szCs w:val="28"/>
        </w:rPr>
        <w:t xml:space="preserve">1</w:t>
      </w:r>
      <w:r>
        <w:rPr>
          <w:rFonts w:ascii="Arial Narrow" w:hAnsi="Arial Narrow"/>
          <w:b/>
          <w:color w:val="002060"/>
          <w:sz w:val="28"/>
          <w:szCs w:val="28"/>
        </w:rPr>
        <w:t xml:space="preserve">-2032</w:t>
      </w:r>
      <w:r>
        <w:rPr>
          <w:rFonts w:ascii="Arial Narrow" w:hAnsi="Arial Narrow"/>
          <w:b/>
          <w:color w:val="002060"/>
          <w:sz w:val="28"/>
          <w:szCs w:val="28"/>
        </w:rPr>
      </w:r>
    </w:p>
    <w:p>
      <w:pPr>
        <w:jc w:val="both"/>
        <w:spacing w:before="60"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5"/>
        </w:numPr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Ответственным лицам по реализации Концепции разработать План проведения мониторинга показателей промежуточных и итоговых результатов.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196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trike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Утвердить график встреч с представителями рабочих групп с целью </w:t>
      </w:r>
      <w:r>
        <w:rPr>
          <w:rFonts w:ascii="Arial Narrow" w:hAnsi="Arial Narrow"/>
          <w:sz w:val="28"/>
          <w:szCs w:val="28"/>
        </w:rPr>
        <w:t xml:space="preserve">закрепляемости</w:t>
      </w:r>
      <w:r>
        <w:rPr>
          <w:rFonts w:ascii="Arial Narrow" w:hAnsi="Arial Narrow"/>
          <w:sz w:val="28"/>
          <w:szCs w:val="28"/>
        </w:rPr>
        <w:t xml:space="preserve"> и развитию достигнутых результатов. </w:t>
      </w:r>
      <w:r>
        <w:rPr>
          <w:rFonts w:ascii="Arial Narrow" w:hAnsi="Arial Narrow"/>
          <w:strike/>
          <w:sz w:val="28"/>
          <w:szCs w:val="28"/>
        </w:rPr>
      </w:r>
    </w:p>
    <w:p>
      <w:pPr>
        <w:pStyle w:val="1247"/>
        <w:numPr>
          <w:ilvl w:val="0"/>
          <w:numId w:val="197"/>
        </w:numPr>
        <w:contextualSpacing w:val="0"/>
        <w:ind w:left="0" w:firstLine="0"/>
        <w:jc w:val="both"/>
        <w:spacing w:after="20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Утвердить график предоставления обратной связи представителям скалолазного сообщества о ходе реализации настоящей Концепции.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1128"/>
        <w:gridCol w:w="8724"/>
      </w:tblGrid>
      <w:tr>
        <w:tblPrEx/>
        <w:trPr/>
        <w:tc>
          <w:tcPr>
            <w:tcW w:w="11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6740" cy="556260"/>
                      <wp:effectExtent l="0" t="0" r="0" b="0"/>
                      <wp:docPr id="55" name="Рисунок 52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Рисунок 52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6740" cy="556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" o:spid="_x0000_s58" type="#_x0000_t75" style="width:46.20pt;height:43.80pt;mso-wrap-distance-left:0.00pt;mso-wrap-distance-top:0.00pt;mso-wrap-distance-right:0.00pt;mso-wrap-distance-bottom:0.00pt;" stroked="false">
                      <v:path textboxrect="0,0,0,0"/>
                      <v:imagedata r:id="rId53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87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Calibri"/>
                <w:i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Данные опроса респондентов </w:t>
            </w:r>
            <w:r>
              <w:rPr>
                <w:rFonts w:ascii="Arial Narrow" w:hAnsi="Arial Narrow" w:eastAsia="Calibri"/>
                <w:i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 w:eastAsia="Calibri"/>
                <w:i/>
                <w:sz w:val="28"/>
                <w:szCs w:val="28"/>
              </w:rPr>
            </w:pPr>
            <w:r>
              <w:rPr>
                <w:rFonts w:ascii="Arial Narrow" w:hAnsi="Arial Narrow" w:eastAsia="Calibri"/>
                <w:i/>
                <w:sz w:val="28"/>
                <w:szCs w:val="28"/>
              </w:rPr>
            </w:r>
            <w:r>
              <w:rPr>
                <w:rFonts w:ascii="Arial Narrow" w:hAnsi="Arial Narrow" w:eastAsia="Calibri"/>
                <w:i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before="6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73140" cy="3048000"/>
                <wp:effectExtent l="0" t="0" r="0" b="0"/>
                <wp:docPr id="56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Рисунок 5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rcRect l="0" t="0" r="4831" b="0"/>
                        <a:stretch/>
                      </pic:blipFill>
                      <pic:spPr bwMode="auto">
                        <a:xfrm>
                          <a:off x="0" y="0"/>
                          <a:ext cx="6073140" cy="30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78.20pt;height:240.00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79820" cy="3055620"/>
                <wp:effectExtent l="0" t="0" r="0" b="0"/>
                <wp:docPr id="57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Рисунок 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6179820" cy="305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86.60pt;height:240.60pt;mso-wrap-distance-left:0.00pt;mso-wrap-distance-top:0.00pt;mso-wrap-distance-right:0.00pt;mso-wrap-distance-bottom:0.00pt;" stroked="false">
                <v:path textboxrect="0,0,0,0"/>
                <v:imagedata r:id="rId55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contextualSpacing w:val="0"/>
        <w:ind w:left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6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16"/>
        <w:gridCol w:w="8737"/>
      </w:tblGrid>
      <w:tr>
        <w:tblPrEx/>
        <w:trPr/>
        <w:tc>
          <w:tcPr>
            <w:tcW w:w="111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4510" cy="524510"/>
                      <wp:effectExtent l="0" t="0" r="0" b="0"/>
                      <wp:docPr id="58" name="Рисунок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" name="Рисунок 4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4510" cy="5245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" o:spid="_x0000_s61" type="#_x0000_t75" style="width:41.30pt;height:41.30pt;mso-wrap-distance-left:0.00pt;mso-wrap-distance-top:0.00pt;mso-wrap-distance-right:0.00pt;mso-wrap-distance-bottom:0.00pt;" stroked="false">
                      <v:path textboxrect="0,0,0,0"/>
                      <v:imagedata r:id="rId56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shd w:val="clear" w:color="auto" w:fill="c6d9f1" w:themeFill="text2" w:themeFillTint="33"/>
            <w:tcW w:w="87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 w:eastAsia="Noto Sans CJK SC" w:cs="Noto Sans CJK SC"/>
                <w:b/>
                <w:sz w:val="32"/>
                <w:szCs w:val="32"/>
              </w:rPr>
              <w:t xml:space="preserve">Раздел 8. Организационно-финансовое обеспечение</w: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128"/>
        <w:gridCol w:w="8725"/>
      </w:tblGrid>
      <w:tr>
        <w:tblPrEx/>
        <w:trPr/>
        <w:tc>
          <w:tcPr>
            <w:tcW w:w="11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9755" cy="556260"/>
                      <wp:effectExtent l="0" t="0" r="0" b="0"/>
                      <wp:docPr id="59" name="Изображение20" descr="https://e7.pngegg.com/pngimages/155/541/png-clipart-drawing-computer-icons-teen-miscellaneous-photograph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" name="Изображение20" descr="https://e7.pngegg.com/pngimages/155/541/png-clipart-drawing-computer-icons-teen-miscellaneous-photography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9755" cy="556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" o:spid="_x0000_s62" type="#_x0000_t75" style="width:45.65pt;height:43.80pt;mso-wrap-distance-left:0.00pt;mso-wrap-distance-top:0.00pt;mso-wrap-distance-right:0.00pt;mso-wrap-distance-bottom:0.00pt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  <w:tc>
          <w:tcPr>
            <w:tcW w:w="872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 Narrow" w:hAnsi="Arial Narrow" w:eastAsia="Calibri"/>
                <w:i/>
                <w:sz w:val="28"/>
                <w:szCs w:val="28"/>
              </w:rPr>
            </w:pPr>
            <w:r>
              <w:rPr>
                <w:rFonts w:ascii="Arial Narrow" w:hAnsi="Arial Narrow" w:eastAsia="Calibri" w:cs="Arial"/>
                <w:i/>
                <w:sz w:val="28"/>
                <w:szCs w:val="28"/>
              </w:rPr>
              <w:t xml:space="preserve">Данные опроса респондентов </w:t>
            </w:r>
            <w:r>
              <w:rPr>
                <w:rFonts w:ascii="Arial Narrow" w:hAnsi="Arial Narrow" w:eastAsia="Calibri"/>
                <w:i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 w:eastAsia="Calibri"/>
                <w:i/>
                <w:sz w:val="28"/>
                <w:szCs w:val="28"/>
              </w:rPr>
            </w:pPr>
            <w:r>
              <w:rPr>
                <w:rFonts w:ascii="Arial Narrow" w:hAnsi="Arial Narrow" w:eastAsia="Calibri"/>
                <w:i/>
                <w:sz w:val="28"/>
                <w:szCs w:val="28"/>
              </w:rPr>
            </w:r>
            <w:r>
              <w:rPr>
                <w:rFonts w:ascii="Arial Narrow" w:hAnsi="Arial Narrow" w:eastAsia="Calibri"/>
                <w:i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9495" cy="2999105"/>
                <wp:effectExtent l="0" t="0" r="0" b="0"/>
                <wp:docPr id="60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" name="Рисунок 4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rcRect l="0" t="0" r="4474" b="0"/>
                        <a:stretch/>
                      </pic:blipFill>
                      <pic:spPr bwMode="auto">
                        <a:xfrm>
                          <a:off x="0" y="0"/>
                          <a:ext cx="6119495" cy="2999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81.85pt;height:236.15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</w:pPr>
      <w:r>
        <w:rPr>
          <w:rFonts w:ascii="Arial Narrow" w:hAnsi="Arial Narrow"/>
          <w:sz w:val="28"/>
          <w:szCs w:val="28"/>
        </w:rPr>
        <w:t xml:space="preserve">Эффективное организационно-финансовое обеспечение развития скалолазания в России требует сотрудничества с федеральными, региональными и местными органами власти,</w:t>
      </w:r>
      <w:r>
        <w:rPr>
          <w:rFonts w:ascii="Arial Narrow" w:hAnsi="Arial Narrow"/>
          <w:sz w:val="28"/>
          <w:szCs w:val="28"/>
        </w:rPr>
        <w:t xml:space="preserve"> а также активного привлечения частных инвесторов и спонсоров. Средства должны быть направлены на поддержку всех аспектов скалолазания, включая профессиональный и массовый спорт, развитие инфраструктуры, безопасность и другие ключевые направления развития.</w:t>
      </w:r>
      <w:r>
        <w:t xml:space="preserve"> </w:t>
      </w:r>
      <w:r/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Оценка потребности в ресурсах должна быть систематическим и долгосрочным процессом, который будет обеспечивать устойчивое развитие скалолазания и создание эффективных программ для продвижения этого вида спорта. 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6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Оценка потребности в инфраструктуре 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28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Определите, сколько новых скалодромов и трасс потребуется для удовлетворения растущего спроса на скалолазание. Это может включать в себя как реконструкцию и модернизацию существующих объектов, так и строительство новых.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6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Оценка потребности в оборудовании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29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Определите, какое скальное оборудование потребуется для скалодромов, трасс и для спортсменов. Важно учесть безопасное и современное снаряжение.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6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Оценка потребности в кадрах 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30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Оце</w:t>
      </w:r>
      <w:r>
        <w:rPr>
          <w:rFonts w:ascii="Arial Narrow" w:hAnsi="Arial Narrow"/>
          <w:sz w:val="28"/>
          <w:szCs w:val="28"/>
        </w:rPr>
        <w:t xml:space="preserve">ните, сколько квалифицированных тренеров, судей, подготовщиков трасс и работников других специальностей потребуется для обучения и сопровождения на тренировках и спортивных мероприятиях спортсменов, подготовки спортивного резерва и организации соревнований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0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Определите кадровую потребность управленческого и административного персонала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0"/>
        </w:numPr>
        <w:contextualSpacing w:val="0"/>
        <w:ind w:left="0" w:firstLine="0"/>
        <w:jc w:val="both"/>
        <w:spacing w:after="200"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Сформируйте потребность во вспомогательном персонале и волонтерах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6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Оценка проведения количества и уровня мероприятий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31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Рассмотрите план проведения соревнований, спортивных мероприятий и фестивалей. Проверьте необходимость и достаточность оценки потребности в ресурсах для его реализации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6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Оценка потребности в маркетинге и рекламе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31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Определите потребность в рекламе и маркетинге для привлечения новых партнеров и участников, развития бренда и </w:t>
      </w:r>
      <w:r>
        <w:rPr>
          <w:rFonts w:ascii="Arial Narrow" w:hAnsi="Arial Narrow"/>
          <w:sz w:val="28"/>
          <w:szCs w:val="28"/>
          <w:lang w:val="en-US"/>
        </w:rPr>
        <w:t xml:space="preserve">GR</w:t>
      </w:r>
      <w:r>
        <w:rPr>
          <w:rFonts w:ascii="Arial Narrow" w:hAnsi="Arial Narrow"/>
          <w:sz w:val="28"/>
          <w:szCs w:val="28"/>
        </w:rPr>
        <w:t xml:space="preserve">-поддержке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6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Оценка потребности в научных исследованиях и методологии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32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Рассмотрите план проведения научных исследований, методологических и технологических разработок и сформируйте потребность в ресурсах для его реализации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ind w:left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6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Оценка потребности в ИТ-поддержке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33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Определите потребность в обеспечении деятельности ФСР компьютерами, оргтехникой и средствами связи, ИТ-поддержке и внедрении новых программных продуктов, с учетом задач по цифровизации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Создание бизнес-плана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Произведите консультации и используйте проведенные опросы всех заинтересованных сторон для учета их мнения и потребностей. На основе вс</w:t>
      </w:r>
      <w:r>
        <w:rPr>
          <w:rFonts w:ascii="Arial Narrow" w:hAnsi="Arial Narrow"/>
          <w:sz w:val="28"/>
          <w:szCs w:val="28"/>
        </w:rPr>
        <w:t xml:space="preserve">ех оценок и данных разработайте долгосрочный бизнес-план для развития скалолазания, включая бюджет и план реализации мероприятий. Регулярно контролируйте выполнение бизнес-плана и корректируйте его в зависимости от изменяющихся обстоятельств и результатов.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Оценка потребности в финансировании:</w:t>
      </w:r>
      <w:r>
        <w:rPr>
          <w:rFonts w:ascii="Arial Narrow" w:hAnsi="Arial Narrow"/>
          <w:b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Главная задача финансового планирования состоит в определении дополнительных потребностей финансирования, которые появляются вследствие увеличения объемов всех видов работ для д</w:t>
      </w:r>
      <w:r>
        <w:rPr>
          <w:rFonts w:ascii="Arial Narrow" w:hAnsi="Arial Narrow"/>
          <w:sz w:val="28"/>
          <w:szCs w:val="28"/>
        </w:rPr>
        <w:t xml:space="preserve">остижения поставленных целей и задач. Это включает в себя расходы на строительство и обслуживание скалодромов, поддержку спортсменов, обучение тренеров и судей, маркетинговую и рекламную активность, разработку новых методик или технологий и другие расходы.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drawing>
          <wp:inline xmlns:wp="http://schemas.openxmlformats.org/drawingml/2006/wordprocessingDrawing" distT="0" distB="0" distL="0" distR="0">
            <wp:extent cx="6102350" cy="3200400"/>
            <wp:effectExtent l="12700" t="0" r="6350" b="0"/>
            <wp:docPr id="61" name="Diagram60"/>
            <wp:cNvGraphicFramePr/>
            <a:graphic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8" r:lo="rId61" r:qs="rId62" r:cs="rId60"/>
              </a:graphicData>
            </a:graphic>
          </wp:inline>
        </w:drawing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Для проведения анализа потребности в финансовом обеспечении следует учесть следующие шаги: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Разработка финансовой стратегии 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27"/>
        </w:numPr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Провести анализ финансовых показателей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7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Определить потребности в различных ресурсах, необходимых и выделяемых на реализацию Концепции и оценить их в финансовом эквиваленте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7"/>
        </w:numPr>
        <w:contextualSpacing w:val="0"/>
        <w:ind w:left="0" w:firstLine="0"/>
        <w:jc w:val="both"/>
        <w:spacing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Выявить стратегические разрывы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27"/>
        </w:numPr>
        <w:contextualSpacing w:val="0"/>
        <w:ind w:left="0" w:firstLine="0"/>
        <w:jc w:val="both"/>
        <w:spacing w:after="200" w:line="276" w:lineRule="auto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Определить финансовую стратегию, с учетом дополнительных потребностей </w:t>
      </w:r>
      <w:r>
        <w:rPr>
          <w:rFonts w:ascii="Arial Narrow" w:hAnsi="Arial Narrow"/>
          <w:sz w:val="28"/>
          <w:szCs w:val="28"/>
        </w:rPr>
      </w:r>
    </w:p>
    <w:p>
      <w:pPr>
        <w:ind w:left="284"/>
        <w:jc w:val="both"/>
        <w:spacing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Разработка и внедрение системы бюджетирования 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34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Определить бюджетные потребности для достижения поставленных целей и задач. Сформировать бюджеты доходов и расходов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4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Распределить бюджет с учетом приоритетных направлений работ и важности и воздействия на достижение целей. Выделить бюджет на развитие приоритетных направлений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4"/>
        </w:numPr>
        <w:contextualSpacing w:val="0"/>
        <w:ind w:left="0" w:firstLine="0"/>
        <w:jc w:val="both"/>
        <w:spacing w:line="276" w:lineRule="auto"/>
        <w:tabs>
          <w:tab w:val="left" w:pos="284" w:leader="none"/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Обеспечить прозрачность бюджетирования для всех заинтересованных сторон 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4"/>
        </w:numPr>
        <w:contextualSpacing w:val="0"/>
        <w:ind w:left="0" w:firstLine="0"/>
        <w:jc w:val="both"/>
        <w:spacing w:after="200" w:line="276" w:lineRule="auto"/>
        <w:tabs>
          <w:tab w:val="left" w:pos="284" w:leader="none"/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Внедрить систему мониторинга и контроля над расходами для предотвращения перерасхода средств и максимизации их эффективного использования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tabs>
          <w:tab w:val="left" w:pos="284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Финансовая отчетность и прозрачность </w:t>
      </w:r>
      <w:r>
        <w:rPr>
          <w:rFonts w:ascii="Arial Narrow" w:hAnsi="Arial Narrow"/>
          <w:b/>
          <w:sz w:val="28"/>
          <w:szCs w:val="28"/>
        </w:rPr>
      </w:r>
    </w:p>
    <w:p>
      <w:pPr>
        <w:pStyle w:val="1247"/>
        <w:numPr>
          <w:ilvl w:val="0"/>
          <w:numId w:val="35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Установить систему регулярной отчетности, включая финансовые отчеты, предоставляемые заинтересованным сторонам.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5"/>
        </w:numPr>
        <w:contextualSpacing w:val="0"/>
        <w:ind w:left="0" w:firstLine="0"/>
        <w:jc w:val="both"/>
        <w:spacing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Обеспечить открытость в расходовании средств, предоставляя детальную информацию о расходах и их соответствии целям и задачам</w:t>
      </w:r>
      <w:r>
        <w:rPr>
          <w:rFonts w:ascii="Arial Narrow" w:hAnsi="Arial Narrow"/>
          <w:sz w:val="28"/>
          <w:szCs w:val="28"/>
        </w:rPr>
      </w:r>
    </w:p>
    <w:p>
      <w:pPr>
        <w:pStyle w:val="1247"/>
        <w:numPr>
          <w:ilvl w:val="0"/>
          <w:numId w:val="35"/>
        </w:numPr>
        <w:contextualSpacing w:val="0"/>
        <w:ind w:left="0" w:firstLine="0"/>
        <w:jc w:val="both"/>
        <w:spacing w:after="200" w:line="276" w:lineRule="auto"/>
        <w:tabs>
          <w:tab w:val="left" w:pos="426" w:leader="none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Вовлекать региональные федерации и других интересантов в процесс мониторинга финансовых ресурсов и обеспечивать их участие в контроле за эффективным использованием средств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Стратегический подход к организационно-финансовому обеспечению реализации Концепции обеспечивает устойчивое финансирование и эффективное использование ресурсов для достижения поставленных целей.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shd w:val="clear" w:color="auto" w:fill="c6d9f1" w:themeFill="text2" w:themeFillTint="33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Заключение</w:t>
      </w:r>
      <w:r>
        <w:rPr>
          <w:rFonts w:ascii="Arial Narrow" w:hAnsi="Arial Narrow"/>
          <w:b/>
          <w:sz w:val="32"/>
          <w:szCs w:val="32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Основной целью разработки Концепции является создание условий для развития скалолазания в Ро</w:t>
      </w:r>
      <w:r>
        <w:rPr>
          <w:rFonts w:ascii="Arial Narrow" w:hAnsi="Arial Narrow"/>
          <w:sz w:val="28"/>
          <w:szCs w:val="28"/>
        </w:rPr>
        <w:t xml:space="preserve">ссии, повышения его популярности, уровня подготовки и достижений на международной арене. Мы стремимся к тому, чтобы скалолазание стало доступным и привлекательным для широкого круга людей, а также способствовало развитию спортивного туризма в нашей стране.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Для достижения поставленных целей необходимо активное взаимодействие между Федерацией скал</w:t>
      </w:r>
      <w:r>
        <w:rPr>
          <w:rFonts w:ascii="Arial Narrow" w:hAnsi="Arial Narrow"/>
          <w:sz w:val="28"/>
          <w:szCs w:val="28"/>
        </w:rPr>
        <w:t xml:space="preserve">олазания, региональными органами власти, международными и российскими спортивными организациями, тренерскими штабами и спортсменами. Также важно обеспечить финансовую поддержку развитию скалолазания и создать условия для привлечения спонсоров и инвесторов.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Ко</w:t>
      </w:r>
      <w:r>
        <w:rPr>
          <w:rFonts w:ascii="Arial Narrow" w:hAnsi="Arial Narrow"/>
          <w:sz w:val="28"/>
          <w:szCs w:val="28"/>
        </w:rPr>
        <w:t xml:space="preserve">нцепция развития Федерации скалолазания России в горизонте 2032 представляет собой важный документ, направленный на укрепление позиций страны в скалолазании. В нем определяются стратегические цели и задачи развития организации на международном, национально</w:t>
      </w:r>
      <w:r>
        <w:rPr>
          <w:rFonts w:ascii="Arial Narrow" w:hAnsi="Arial Narrow"/>
          <w:sz w:val="28"/>
          <w:szCs w:val="28"/>
        </w:rPr>
        <w:t xml:space="preserve">м и региональном уровнях. В ходе разработки документа уделено особое внимание анализу текущего состояния скалолазания в России, определению образа его будущего, выбору приоритетных направлений развития и разработке конкретных мероприятий для их реализации.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Совокупность мероприятий, выстроенных на основе государственной политики, с учетом внутрироссийских и международных стратегических ориентиров в спортивной д</w:t>
      </w:r>
      <w:r>
        <w:rPr>
          <w:rFonts w:ascii="Arial Narrow" w:hAnsi="Arial Narrow"/>
          <w:sz w:val="28"/>
          <w:szCs w:val="28"/>
        </w:rPr>
        <w:t xml:space="preserve">еятельности, общего видения будущего Федерации в горизонте 2032, определяют ключевые направления и приоритетные задачи развития скалолазания, что позволит создать благоприятные условия для процветания этого увлекательного и зрелищного вида спорта в России.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Реализация предложенных мер позволит значительно увеличить число людей, занимающихся скалолазанием, создать новые скалолазные объекты, повысить уровень подготовки спортсменов и обеспечить их успешное выступление на международных соревнованиях.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Данная Концепция станет основой для эффективного развития скалолазания в России и поможет достичь поставленных целей в ближайшие годы. Только совместными усилиями мы сможем сделать скалолазание более доступным и популярным видом спорта для всех желающих.</w:t>
      </w:r>
      <w:r>
        <w:rPr>
          <w:rFonts w:ascii="Arial Narrow" w:hAnsi="Arial Narrow"/>
          <w:sz w:val="28"/>
          <w:szCs w:val="28"/>
        </w:rPr>
      </w:r>
    </w:p>
    <w:p>
      <w:pPr>
        <w:jc w:val="both"/>
        <w:spacing w:before="24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851" w:right="851" w:bottom="851" w:left="1418" w:header="0" w:footer="709" w:gutter="0"/>
      <w:pgNumType w:start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 Narrow">
    <w:panose1 w:val="020B0606020202030204"/>
  </w:font>
  <w:font w:name="Wingdings">
    <w:panose1 w:val="05010000000000000000"/>
  </w:font>
  <w:font w:name="Symbol">
    <w:panose1 w:val="05010000000000000000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Courier New">
    <w:panose1 w:val="02070309020205020404"/>
  </w:font>
  <w:font w:name="Lohit Devanagari">
    <w:panose1 w:val="020B0600000000000000"/>
  </w:font>
  <w:font w:name="OpenSymbol">
    <w:panose1 w:val="05010000000000000000"/>
  </w:font>
  <w:font w:name="Noto Sans CJK SC">
    <w:panose1 w:val="020B060403050404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5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fldChar w:fldCharType="begin"/>
    </w:r>
    <w:r>
      <w:rPr>
        <w:rFonts w:ascii="Arial Narrow" w:hAnsi="Arial Narrow"/>
        <w:sz w:val="18"/>
        <w:szCs w:val="18"/>
      </w:rPr>
      <w:instrText xml:space="preserve"> PAGE </w:instrText>
    </w:r>
    <w:r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sz w:val="18"/>
        <w:szCs w:val="18"/>
      </w:rPr>
      <w:t xml:space="preserve">50</w:t>
    </w:r>
    <w:r>
      <w:rPr>
        <w:rFonts w:ascii="Arial Narrow" w:hAnsi="Arial Narrow"/>
        <w:sz w:val="18"/>
        <w:szCs w:val="18"/>
      </w:rPr>
      <w:fldChar w:fldCharType="end"/>
    </w:r>
    <w:r>
      <w:rPr>
        <w:rFonts w:ascii="Arial Narrow" w:hAnsi="Arial Narrow"/>
        <w:sz w:val="18"/>
        <w:szCs w:val="18"/>
      </w:rPr>
    </w:r>
  </w:p>
  <w:p>
    <w:pPr>
      <w:pStyle w:val="125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40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b w:val="0"/>
        <w:i w:val="0"/>
        <w:color w:val="auto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hint="default" w:ascii="Calibri" w:hAnsi="Calibri" w:cs="Calibri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763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1790" w:hanging="710"/>
        <w:tabs>
          <w:tab w:val="num" w:pos="0" w:leader="none"/>
        </w:tabs>
      </w:pPr>
      <w:rPr>
        <w:rFonts w:eastAsiaTheme="minorHAnsi" w:cstheme="minorBidi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0" w:hanging="360"/>
        <w:tabs>
          <w:tab w:val="num" w:pos="0" w:leader="none"/>
        </w:tabs>
      </w:pPr>
      <w:rPr>
        <w:color w:val="00206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0" w:hanging="360"/>
        <w:tabs>
          <w:tab w:val="num" w:pos="0" w:leader="none"/>
        </w:tabs>
      </w:pPr>
      <w:rPr>
        <w:color w:val="00206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Arial Narrow" w:hAnsi="Arial Narrow" w:eastAsiaTheme="minorHAnsi" w:cstheme="minorBid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b w:val="0"/>
        <w:i w:val="0"/>
        <w:color w:val="auto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hint="default" w:ascii="Calibri" w:hAnsi="Calibri" w:cs="Calibri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40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40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0" w:leader="none"/>
        </w:tabs>
      </w:pPr>
      <w:rPr>
        <w:rFonts w:hint="default" w:ascii="Symbol" w:hAnsi="Symbol" w:cs="Symbol"/>
        <w:b w:val="0"/>
        <w:i w:val="0"/>
        <w:color w:val="auto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5">
    <w:multiLevelType w:val="hybridMultilevel"/>
    <w:styleLink w:val="1256"/>
    <w:lvl w:ilvl="0">
      <w:start w:val="1"/>
      <w:numFmt w:val="decimal"/>
      <w:pStyle w:val="1256"/>
      <w:isLgl w:val="false"/>
      <w:suff w:val="tab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0" w:hanging="360"/>
        <w:tabs>
          <w:tab w:val="num" w:pos="0" w:leader="none"/>
        </w:tabs>
      </w:pPr>
      <w:rPr>
        <w:color w:val="00206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8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0" w:hanging="360"/>
        <w:tabs>
          <w:tab w:val="num" w:pos="0" w:leader="none"/>
        </w:tabs>
      </w:pPr>
      <w:rPr>
        <w:color w:val="00206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color w:val="00206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b w:val="0"/>
        <w:i w:val="0"/>
        <w:color w:val="auto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763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7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hint="default" w:ascii="Calibri" w:hAnsi="Calibri" w:cs="Calibri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71">
    <w:multiLevelType w:val="hybridMultilevel"/>
    <w:styleLink w:val="1258"/>
    <w:lvl w:ilvl="0">
      <w:start w:val="1"/>
      <w:numFmt w:val="decimal"/>
      <w:pStyle w:val="1258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7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7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7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0">
    <w:multiLevelType w:val="hybridMultilevel"/>
    <w:styleLink w:val="1259"/>
    <w:lvl w:ilvl="0">
      <w:start w:val="1"/>
      <w:numFmt w:val="decimal"/>
      <w:pStyle w:val="1259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hint="default" w:ascii="Calibri" w:hAnsi="Calibri" w:cs="Calibri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40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8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7">
    <w:multiLevelType w:val="hybridMultilevel"/>
    <w:styleLink w:val="1257"/>
    <w:lvl w:ilvl="0">
      <w:start w:val="1"/>
      <w:numFmt w:val="decimal"/>
      <w:pStyle w:val="1257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hint="default" w:ascii="Calibri" w:hAnsi="Calibri" w:cs="Calibri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0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0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763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10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Arial Narrow" w:hAnsi="Arial Narrow" w:eastAsiaTheme="minorHAnsi" w:cstheme="minorBid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0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10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hint="default" w:ascii="Calibri" w:hAnsi="Calibri" w:cs="Calibri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0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b w:val="0"/>
        <w:i w:val="0"/>
        <w:color w:val="auto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0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0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763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0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1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15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54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74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4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4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4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4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4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4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4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1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hint="default" w:ascii="Calibri" w:hAnsi="Calibri" w:cs="Calibri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Arial Narrow" w:hAnsi="Arial Narrow" w:eastAsiaTheme="minorHAnsi" w:cstheme="minorBid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763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1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763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1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b w:val="0"/>
        <w:i w:val="0"/>
        <w:color w:val="auto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3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  <w:tabs>
          <w:tab w:val="num" w:pos="1080" w:leader="none"/>
        </w:tabs>
      </w:pPr>
      <w:rPr>
        <w:rFonts w:hint="default" w:ascii="OpenSymbol" w:hAnsi="OpenSymbol" w:cs="OpenSymbol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  <w:tabs>
          <w:tab w:val="num" w:pos="1440" w:leader="none"/>
        </w:tabs>
      </w:pPr>
      <w:rPr>
        <w:rFonts w:hint="default" w:ascii="OpenSymbol" w:hAnsi="OpenSymbol" w:cs="OpenSymbol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  <w:tabs>
          <w:tab w:val="num" w:pos="18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  <w:tabs>
          <w:tab w:val="num" w:pos="2160" w:leader="none"/>
        </w:tabs>
      </w:pPr>
      <w:rPr>
        <w:rFonts w:hint="default" w:ascii="OpenSymbol" w:hAnsi="OpenSymbol" w:cs="OpenSymbol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  <w:tabs>
          <w:tab w:val="num" w:pos="2520" w:leader="none"/>
        </w:tabs>
      </w:pPr>
      <w:rPr>
        <w:rFonts w:hint="default" w:ascii="OpenSymbol" w:hAnsi="OpenSymbol" w:cs="Open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  <w:tabs>
          <w:tab w:val="num" w:pos="3240" w:leader="none"/>
        </w:tabs>
      </w:pPr>
      <w:rPr>
        <w:rFonts w:hint="default" w:ascii="OpenSymbol" w:hAnsi="OpenSymbol" w:cs="OpenSymbol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  <w:tabs>
          <w:tab w:val="num" w:pos="3600" w:leader="none"/>
        </w:tabs>
      </w:pPr>
      <w:rPr>
        <w:rFonts w:hint="default" w:ascii="OpenSymbol" w:hAnsi="OpenSymbol" w:cs="OpenSymbol"/>
      </w:rPr>
    </w:lvl>
  </w:abstractNum>
  <w:abstractNum w:abstractNumId="1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763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1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4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  <w:tabs>
          <w:tab w:val="num" w:pos="0" w:leader="none"/>
        </w:tabs>
      </w:pPr>
    </w:lvl>
  </w:abstractNum>
  <w:abstractNum w:abstractNumId="1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num w:numId="1">
    <w:abstractNumId w:val="11"/>
  </w:num>
  <w:num w:numId="2">
    <w:abstractNumId w:val="84"/>
  </w:num>
  <w:num w:numId="3">
    <w:abstractNumId w:val="21"/>
  </w:num>
  <w:num w:numId="4">
    <w:abstractNumId w:val="77"/>
  </w:num>
  <w:num w:numId="5">
    <w:abstractNumId w:val="100"/>
  </w:num>
  <w:num w:numId="6">
    <w:abstractNumId w:val="94"/>
  </w:num>
  <w:num w:numId="7">
    <w:abstractNumId w:val="139"/>
  </w:num>
  <w:num w:numId="8">
    <w:abstractNumId w:val="62"/>
  </w:num>
  <w:num w:numId="9">
    <w:abstractNumId w:val="25"/>
  </w:num>
  <w:num w:numId="10">
    <w:abstractNumId w:val="143"/>
  </w:num>
  <w:num w:numId="11">
    <w:abstractNumId w:val="131"/>
  </w:num>
  <w:num w:numId="12">
    <w:abstractNumId w:val="115"/>
  </w:num>
  <w:num w:numId="13">
    <w:abstractNumId w:val="141"/>
  </w:num>
  <w:num w:numId="14">
    <w:abstractNumId w:val="72"/>
  </w:num>
  <w:num w:numId="15">
    <w:abstractNumId w:val="81"/>
  </w:num>
  <w:num w:numId="16">
    <w:abstractNumId w:val="46"/>
  </w:num>
  <w:num w:numId="17">
    <w:abstractNumId w:val="70"/>
  </w:num>
  <w:num w:numId="18">
    <w:abstractNumId w:val="6"/>
  </w:num>
  <w:num w:numId="19">
    <w:abstractNumId w:val="89"/>
  </w:num>
  <w:num w:numId="20">
    <w:abstractNumId w:val="30"/>
  </w:num>
  <w:num w:numId="21">
    <w:abstractNumId w:val="118"/>
  </w:num>
  <w:num w:numId="22">
    <w:abstractNumId w:val="39"/>
  </w:num>
  <w:num w:numId="23">
    <w:abstractNumId w:val="50"/>
  </w:num>
  <w:num w:numId="24">
    <w:abstractNumId w:val="109"/>
  </w:num>
  <w:num w:numId="25">
    <w:abstractNumId w:val="121"/>
  </w:num>
  <w:num w:numId="26">
    <w:abstractNumId w:val="8"/>
  </w:num>
  <w:num w:numId="27">
    <w:abstractNumId w:val="110"/>
  </w:num>
  <w:num w:numId="28">
    <w:abstractNumId w:val="130"/>
  </w:num>
  <w:num w:numId="29">
    <w:abstractNumId w:val="4"/>
  </w:num>
  <w:num w:numId="30">
    <w:abstractNumId w:val="105"/>
  </w:num>
  <w:num w:numId="31">
    <w:abstractNumId w:val="36"/>
  </w:num>
  <w:num w:numId="32">
    <w:abstractNumId w:val="29"/>
  </w:num>
  <w:num w:numId="33">
    <w:abstractNumId w:val="64"/>
  </w:num>
  <w:num w:numId="34">
    <w:abstractNumId w:val="133"/>
  </w:num>
  <w:num w:numId="35">
    <w:abstractNumId w:val="93"/>
  </w:num>
  <w:num w:numId="36">
    <w:abstractNumId w:val="138"/>
  </w:num>
  <w:num w:numId="37">
    <w:abstractNumId w:val="134"/>
  </w:num>
  <w:num w:numId="38">
    <w:abstractNumId w:val="108"/>
  </w:num>
  <w:num w:numId="39">
    <w:abstractNumId w:val="137"/>
  </w:num>
  <w:num w:numId="40">
    <w:abstractNumId w:val="98"/>
  </w:num>
  <w:num w:numId="41">
    <w:abstractNumId w:val="124"/>
  </w:num>
  <w:num w:numId="42">
    <w:abstractNumId w:val="28"/>
  </w:num>
  <w:num w:numId="43">
    <w:abstractNumId w:val="116"/>
  </w:num>
  <w:num w:numId="44">
    <w:abstractNumId w:val="60"/>
  </w:num>
  <w:num w:numId="45">
    <w:abstractNumId w:val="44"/>
  </w:num>
  <w:num w:numId="46">
    <w:abstractNumId w:val="68"/>
  </w:num>
  <w:num w:numId="47">
    <w:abstractNumId w:val="17"/>
  </w:num>
  <w:num w:numId="48">
    <w:abstractNumId w:val="26"/>
  </w:num>
  <w:num w:numId="49">
    <w:abstractNumId w:val="37"/>
  </w:num>
  <w:num w:numId="50">
    <w:abstractNumId w:val="147"/>
  </w:num>
  <w:num w:numId="51">
    <w:abstractNumId w:val="10"/>
  </w:num>
  <w:num w:numId="52">
    <w:abstractNumId w:val="99"/>
  </w:num>
  <w:num w:numId="53">
    <w:abstractNumId w:val="0"/>
  </w:num>
  <w:num w:numId="54">
    <w:abstractNumId w:val="114"/>
  </w:num>
  <w:num w:numId="55">
    <w:abstractNumId w:val="42"/>
  </w:num>
  <w:num w:numId="56">
    <w:abstractNumId w:val="148"/>
  </w:num>
  <w:num w:numId="57">
    <w:abstractNumId w:val="35"/>
  </w:num>
  <w:num w:numId="58">
    <w:abstractNumId w:val="82"/>
  </w:num>
  <w:num w:numId="59">
    <w:abstractNumId w:val="1"/>
  </w:num>
  <w:num w:numId="60">
    <w:abstractNumId w:val="33"/>
  </w:num>
  <w:num w:numId="61">
    <w:abstractNumId w:val="22"/>
  </w:num>
  <w:num w:numId="62">
    <w:abstractNumId w:val="119"/>
  </w:num>
  <w:num w:numId="63">
    <w:abstractNumId w:val="76"/>
  </w:num>
  <w:num w:numId="64">
    <w:abstractNumId w:val="3"/>
  </w:num>
  <w:num w:numId="65">
    <w:abstractNumId w:val="78"/>
  </w:num>
  <w:num w:numId="66">
    <w:abstractNumId w:val="96"/>
  </w:num>
  <w:num w:numId="67">
    <w:abstractNumId w:val="52"/>
  </w:num>
  <w:num w:numId="68">
    <w:abstractNumId w:val="146"/>
  </w:num>
  <w:num w:numId="69">
    <w:abstractNumId w:val="49"/>
  </w:num>
  <w:num w:numId="70">
    <w:abstractNumId w:val="41"/>
  </w:num>
  <w:num w:numId="71">
    <w:abstractNumId w:val="103"/>
  </w:num>
  <w:num w:numId="72">
    <w:abstractNumId w:val="43"/>
  </w:num>
  <w:num w:numId="73">
    <w:abstractNumId w:val="91"/>
  </w:num>
  <w:num w:numId="74">
    <w:abstractNumId w:val="128"/>
  </w:num>
  <w:num w:numId="75">
    <w:abstractNumId w:val="15"/>
  </w:num>
  <w:num w:numId="76">
    <w:abstractNumId w:val="48"/>
  </w:num>
  <w:num w:numId="77">
    <w:abstractNumId w:val="92"/>
  </w:num>
  <w:num w:numId="78">
    <w:abstractNumId w:val="73"/>
  </w:num>
  <w:num w:numId="79">
    <w:abstractNumId w:val="34"/>
  </w:num>
  <w:num w:numId="80">
    <w:abstractNumId w:val="57"/>
  </w:num>
  <w:num w:numId="81">
    <w:abstractNumId w:val="106"/>
  </w:num>
  <w:num w:numId="82">
    <w:abstractNumId w:val="83"/>
  </w:num>
  <w:num w:numId="83">
    <w:abstractNumId w:val="5"/>
  </w:num>
  <w:num w:numId="84">
    <w:abstractNumId w:val="20"/>
  </w:num>
  <w:num w:numId="85">
    <w:abstractNumId w:val="132"/>
  </w:num>
  <w:num w:numId="86">
    <w:abstractNumId w:val="142"/>
  </w:num>
  <w:num w:numId="87">
    <w:abstractNumId w:val="40"/>
  </w:num>
  <w:num w:numId="88">
    <w:abstractNumId w:val="97"/>
  </w:num>
  <w:num w:numId="89">
    <w:abstractNumId w:val="145"/>
  </w:num>
  <w:num w:numId="90">
    <w:abstractNumId w:val="9"/>
  </w:num>
  <w:num w:numId="91">
    <w:abstractNumId w:val="32"/>
  </w:num>
  <w:num w:numId="92">
    <w:abstractNumId w:val="144"/>
  </w:num>
  <w:num w:numId="93">
    <w:abstractNumId w:val="13"/>
  </w:num>
  <w:num w:numId="94">
    <w:abstractNumId w:val="31"/>
  </w:num>
  <w:num w:numId="95">
    <w:abstractNumId w:val="24"/>
  </w:num>
  <w:num w:numId="96">
    <w:abstractNumId w:val="38"/>
  </w:num>
  <w:num w:numId="97">
    <w:abstractNumId w:val="54"/>
  </w:num>
  <w:num w:numId="98">
    <w:abstractNumId w:val="53"/>
  </w:num>
  <w:num w:numId="99">
    <w:abstractNumId w:val="51"/>
  </w:num>
  <w:num w:numId="100">
    <w:abstractNumId w:val="79"/>
  </w:num>
  <w:num w:numId="101">
    <w:abstractNumId w:val="74"/>
  </w:num>
  <w:num w:numId="102">
    <w:abstractNumId w:val="140"/>
  </w:num>
  <w:num w:numId="103">
    <w:abstractNumId w:val="18"/>
  </w:num>
  <w:num w:numId="104">
    <w:abstractNumId w:val="86"/>
  </w:num>
  <w:num w:numId="105">
    <w:abstractNumId w:val="61"/>
  </w:num>
  <w:num w:numId="106">
    <w:abstractNumId w:val="19"/>
  </w:num>
  <w:num w:numId="107">
    <w:abstractNumId w:val="56"/>
  </w:num>
  <w:num w:numId="108">
    <w:abstractNumId w:val="111"/>
  </w:num>
  <w:num w:numId="109">
    <w:abstractNumId w:val="59"/>
  </w:num>
  <w:num w:numId="110">
    <w:abstractNumId w:val="95"/>
  </w:num>
  <w:num w:numId="111">
    <w:abstractNumId w:val="85"/>
  </w:num>
  <w:num w:numId="112">
    <w:abstractNumId w:val="90"/>
  </w:num>
  <w:num w:numId="113">
    <w:abstractNumId w:val="136"/>
  </w:num>
  <w:num w:numId="114">
    <w:abstractNumId w:val="58"/>
  </w:num>
  <w:num w:numId="115">
    <w:abstractNumId w:val="27"/>
  </w:num>
  <w:num w:numId="116">
    <w:abstractNumId w:val="102"/>
  </w:num>
  <w:num w:numId="117">
    <w:abstractNumId w:val="120"/>
  </w:num>
  <w:num w:numId="118">
    <w:abstractNumId w:val="75"/>
  </w:num>
  <w:num w:numId="119">
    <w:abstractNumId w:val="137"/>
    <w:lvlOverride w:ilvl="0">
      <w:startOverride w:val="1"/>
    </w:lvlOverride>
  </w:num>
  <w:num w:numId="120">
    <w:abstractNumId w:val="137"/>
  </w:num>
  <w:num w:numId="121">
    <w:abstractNumId w:val="137"/>
  </w:num>
  <w:num w:numId="122">
    <w:abstractNumId w:val="137"/>
  </w:num>
  <w:num w:numId="123">
    <w:abstractNumId w:val="137"/>
  </w:num>
  <w:num w:numId="124">
    <w:abstractNumId w:val="137"/>
  </w:num>
  <w:num w:numId="125">
    <w:abstractNumId w:val="137"/>
  </w:num>
  <w:num w:numId="126">
    <w:abstractNumId w:val="137"/>
  </w:num>
  <w:num w:numId="127">
    <w:abstractNumId w:val="17"/>
    <w:lvlOverride w:ilvl="0">
      <w:startOverride w:val="2"/>
    </w:lvlOverride>
  </w:num>
  <w:num w:numId="128">
    <w:abstractNumId w:val="26"/>
    <w:lvlOverride w:ilvl="0">
      <w:startOverride w:val="1"/>
    </w:lvlOverride>
  </w:num>
  <w:num w:numId="129">
    <w:abstractNumId w:val="26"/>
  </w:num>
  <w:num w:numId="130">
    <w:abstractNumId w:val="26"/>
  </w:num>
  <w:num w:numId="131">
    <w:abstractNumId w:val="26"/>
  </w:num>
  <w:num w:numId="132">
    <w:abstractNumId w:val="26"/>
  </w:num>
  <w:num w:numId="133">
    <w:abstractNumId w:val="26"/>
  </w:num>
  <w:num w:numId="134">
    <w:abstractNumId w:val="26"/>
  </w:num>
  <w:num w:numId="135">
    <w:abstractNumId w:val="26"/>
  </w:num>
  <w:num w:numId="136">
    <w:abstractNumId w:val="26"/>
  </w:num>
  <w:num w:numId="137">
    <w:abstractNumId w:val="35"/>
    <w:lvlOverride w:ilvl="0">
      <w:startOverride w:val="1"/>
    </w:lvlOverride>
  </w:num>
  <w:num w:numId="138">
    <w:abstractNumId w:val="35"/>
  </w:num>
  <w:num w:numId="139">
    <w:abstractNumId w:val="35"/>
  </w:num>
  <w:num w:numId="140">
    <w:abstractNumId w:val="35"/>
  </w:num>
  <w:num w:numId="141">
    <w:abstractNumId w:val="108"/>
  </w:num>
  <w:num w:numId="142">
    <w:abstractNumId w:val="108"/>
  </w:num>
  <w:num w:numId="143">
    <w:abstractNumId w:val="108"/>
  </w:num>
  <w:num w:numId="144">
    <w:abstractNumId w:val="108"/>
  </w:num>
  <w:num w:numId="145">
    <w:abstractNumId w:val="108"/>
  </w:num>
  <w:num w:numId="146">
    <w:abstractNumId w:val="108"/>
  </w:num>
  <w:num w:numId="147">
    <w:abstractNumId w:val="17"/>
  </w:num>
  <w:num w:numId="148">
    <w:abstractNumId w:val="146"/>
    <w:lvlOverride w:ilvl="0">
      <w:startOverride w:val="1"/>
    </w:lvlOverride>
  </w:num>
  <w:num w:numId="149">
    <w:abstractNumId w:val="146"/>
  </w:num>
  <w:num w:numId="150">
    <w:abstractNumId w:val="146"/>
  </w:num>
  <w:num w:numId="151">
    <w:abstractNumId w:val="146"/>
  </w:num>
  <w:num w:numId="152">
    <w:abstractNumId w:val="146"/>
  </w:num>
  <w:num w:numId="153">
    <w:abstractNumId w:val="146"/>
  </w:num>
  <w:num w:numId="154">
    <w:abstractNumId w:val="128"/>
    <w:lvlOverride w:ilvl="0">
      <w:startOverride w:val="1"/>
    </w:lvlOverride>
  </w:num>
  <w:num w:numId="155">
    <w:abstractNumId w:val="128"/>
  </w:num>
  <w:num w:numId="156">
    <w:abstractNumId w:val="128"/>
  </w:num>
  <w:num w:numId="157">
    <w:abstractNumId w:val="128"/>
  </w:num>
  <w:num w:numId="158">
    <w:abstractNumId w:val="128"/>
  </w:num>
  <w:num w:numId="159">
    <w:abstractNumId w:val="128"/>
  </w:num>
  <w:num w:numId="160">
    <w:abstractNumId w:val="128"/>
  </w:num>
  <w:num w:numId="161">
    <w:abstractNumId w:val="128"/>
  </w:num>
  <w:num w:numId="162">
    <w:abstractNumId w:val="128"/>
  </w:num>
  <w:num w:numId="163">
    <w:abstractNumId w:val="128"/>
  </w:num>
  <w:num w:numId="164">
    <w:abstractNumId w:val="17"/>
  </w:num>
  <w:num w:numId="165">
    <w:abstractNumId w:val="132"/>
    <w:lvlOverride w:ilvl="0">
      <w:startOverride w:val="1"/>
    </w:lvlOverride>
  </w:num>
  <w:num w:numId="166">
    <w:abstractNumId w:val="132"/>
  </w:num>
  <w:num w:numId="167">
    <w:abstractNumId w:val="132"/>
  </w:num>
  <w:num w:numId="168">
    <w:abstractNumId w:val="132"/>
  </w:num>
  <w:num w:numId="169">
    <w:abstractNumId w:val="132"/>
  </w:num>
  <w:num w:numId="170">
    <w:abstractNumId w:val="132"/>
  </w:num>
  <w:num w:numId="171">
    <w:abstractNumId w:val="32"/>
    <w:lvlOverride w:ilvl="0">
      <w:startOverride w:val="1"/>
    </w:lvlOverride>
  </w:num>
  <w:num w:numId="172">
    <w:abstractNumId w:val="32"/>
  </w:num>
  <w:num w:numId="173">
    <w:abstractNumId w:val="32"/>
  </w:num>
  <w:num w:numId="174">
    <w:abstractNumId w:val="32"/>
  </w:num>
  <w:num w:numId="175">
    <w:abstractNumId w:val="32"/>
  </w:num>
  <w:num w:numId="176">
    <w:abstractNumId w:val="32"/>
  </w:num>
  <w:num w:numId="177">
    <w:abstractNumId w:val="32"/>
  </w:num>
  <w:num w:numId="178">
    <w:abstractNumId w:val="53"/>
    <w:lvlOverride w:ilvl="0">
      <w:startOverride w:val="1"/>
    </w:lvlOverride>
  </w:num>
  <w:num w:numId="179">
    <w:abstractNumId w:val="53"/>
  </w:num>
  <w:num w:numId="180">
    <w:abstractNumId w:val="53"/>
  </w:num>
  <w:num w:numId="181">
    <w:abstractNumId w:val="74"/>
    <w:lvlOverride w:ilvl="0">
      <w:startOverride w:val="1"/>
    </w:lvlOverride>
  </w:num>
  <w:num w:numId="182">
    <w:abstractNumId w:val="74"/>
  </w:num>
  <w:num w:numId="183">
    <w:abstractNumId w:val="74"/>
  </w:num>
  <w:num w:numId="184">
    <w:abstractNumId w:val="74"/>
  </w:num>
  <w:num w:numId="185">
    <w:abstractNumId w:val="74"/>
  </w:num>
  <w:num w:numId="186">
    <w:abstractNumId w:val="19"/>
    <w:lvlOverride w:ilvl="0">
      <w:startOverride w:val="1"/>
    </w:lvlOverride>
  </w:num>
  <w:num w:numId="187">
    <w:abstractNumId w:val="19"/>
  </w:num>
  <w:num w:numId="188">
    <w:abstractNumId w:val="19"/>
  </w:num>
  <w:num w:numId="189">
    <w:abstractNumId w:val="19"/>
  </w:num>
  <w:num w:numId="190">
    <w:abstractNumId w:val="19"/>
  </w:num>
  <w:num w:numId="191">
    <w:abstractNumId w:val="19"/>
  </w:num>
  <w:num w:numId="192">
    <w:abstractNumId w:val="19"/>
  </w:num>
  <w:num w:numId="193">
    <w:abstractNumId w:val="19"/>
  </w:num>
  <w:num w:numId="194">
    <w:abstractNumId w:val="17"/>
  </w:num>
  <w:num w:numId="195">
    <w:abstractNumId w:val="27"/>
    <w:lvlOverride w:ilvl="0">
      <w:startOverride w:val="1"/>
    </w:lvlOverride>
  </w:num>
  <w:num w:numId="196">
    <w:abstractNumId w:val="27"/>
  </w:num>
  <w:num w:numId="197">
    <w:abstractNumId w:val="27"/>
  </w:num>
  <w:num w:numId="198">
    <w:abstractNumId w:val="65"/>
  </w:num>
  <w:num w:numId="199">
    <w:abstractNumId w:val="112"/>
  </w:num>
  <w:num w:numId="200">
    <w:abstractNumId w:val="104"/>
  </w:num>
  <w:num w:numId="201">
    <w:abstractNumId w:val="122"/>
  </w:num>
  <w:num w:numId="202">
    <w:abstractNumId w:val="113"/>
    <w:lvlOverride w:ilvl="0">
      <w:startOverride w:val="1"/>
    </w:lvlOverride>
  </w:num>
  <w:num w:numId="203">
    <w:abstractNumId w:val="113"/>
  </w:num>
  <w:num w:numId="204">
    <w:abstractNumId w:val="12"/>
  </w:num>
  <w:num w:numId="205">
    <w:abstractNumId w:val="23"/>
  </w:num>
  <w:num w:numId="206">
    <w:abstractNumId w:val="55"/>
    <w:lvlOverride w:ilvl="0">
      <w:startOverride w:val="1"/>
    </w:lvlOverride>
  </w:num>
  <w:num w:numId="207">
    <w:abstractNumId w:val="55"/>
  </w:num>
  <w:num w:numId="208">
    <w:abstractNumId w:val="125"/>
    <w:lvlOverride w:ilvl="0">
      <w:startOverride w:val="1"/>
    </w:lvlOverride>
  </w:num>
  <w:num w:numId="209">
    <w:abstractNumId w:val="125"/>
  </w:num>
  <w:num w:numId="210">
    <w:abstractNumId w:val="129"/>
  </w:num>
  <w:num w:numId="211">
    <w:abstractNumId w:val="127"/>
  </w:num>
  <w:num w:numId="212">
    <w:abstractNumId w:val="123"/>
  </w:num>
  <w:num w:numId="213">
    <w:abstractNumId w:val="14"/>
  </w:num>
  <w:num w:numId="214">
    <w:abstractNumId w:val="45"/>
  </w:num>
  <w:num w:numId="215">
    <w:abstractNumId w:val="87"/>
  </w:num>
  <w:num w:numId="216">
    <w:abstractNumId w:val="88"/>
  </w:num>
  <w:num w:numId="217">
    <w:abstractNumId w:val="71"/>
  </w:num>
  <w:num w:numId="218">
    <w:abstractNumId w:val="2"/>
  </w:num>
  <w:num w:numId="219">
    <w:abstractNumId w:val="47"/>
  </w:num>
  <w:num w:numId="220">
    <w:abstractNumId w:val="66"/>
    <w:lvlOverride w:ilvl="0">
      <w:startOverride w:val="1"/>
    </w:lvlOverride>
  </w:num>
  <w:num w:numId="221">
    <w:abstractNumId w:val="66"/>
  </w:num>
  <w:num w:numId="222">
    <w:abstractNumId w:val="80"/>
  </w:num>
  <w:num w:numId="223">
    <w:abstractNumId w:val="117"/>
  </w:num>
  <w:num w:numId="224">
    <w:abstractNumId w:val="63"/>
  </w:num>
  <w:num w:numId="225">
    <w:abstractNumId w:val="67"/>
  </w:num>
  <w:num w:numId="226">
    <w:abstractNumId w:val="69"/>
  </w:num>
  <w:num w:numId="227">
    <w:abstractNumId w:val="7"/>
  </w:num>
  <w:num w:numId="228">
    <w:abstractNumId w:val="101"/>
  </w:num>
  <w:num w:numId="229">
    <w:abstractNumId w:val="135"/>
  </w:num>
  <w:num w:numId="230">
    <w:abstractNumId w:val="126"/>
  </w:num>
  <w:num w:numId="231">
    <w:abstractNumId w:val="107"/>
  </w:num>
  <w:num w:numId="232">
    <w:abstractNumId w:val="16"/>
    <w:lvlOverride w:ilvl="0">
      <w:startOverride w:val="1"/>
    </w:lvlOverride>
  </w:num>
  <w:num w:numId="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53" w:default="1">
    <w:name w:val="Normal"/>
    <w:qFormat/>
    <w:pPr>
      <w:spacing w:after="200" w:line="276" w:lineRule="auto"/>
    </w:pPr>
  </w:style>
  <w:style w:type="paragraph" w:styleId="1054">
    <w:name w:val="Heading 1"/>
    <w:basedOn w:val="105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1055">
    <w:name w:val="Heading 2"/>
    <w:basedOn w:val="105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1056">
    <w:name w:val="Heading 3"/>
    <w:basedOn w:val="105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1057">
    <w:name w:val="Heading 4"/>
    <w:basedOn w:val="105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058">
    <w:name w:val="Heading 5"/>
    <w:basedOn w:val="105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059">
    <w:name w:val="Heading 6"/>
    <w:basedOn w:val="105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1060">
    <w:name w:val="Heading 7"/>
    <w:basedOn w:val="105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1061">
    <w:name w:val="Heading 8"/>
    <w:basedOn w:val="105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1062">
    <w:name w:val="Heading 9"/>
    <w:basedOn w:val="105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63" w:default="1">
    <w:name w:val="Default Paragraph Font"/>
    <w:uiPriority w:val="1"/>
    <w:semiHidden/>
    <w:unhideWhenUsed/>
  </w:style>
  <w:style w:type="table" w:styleId="10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65" w:default="1">
    <w:name w:val="No List"/>
    <w:uiPriority w:val="99"/>
    <w:semiHidden/>
    <w:unhideWhenUsed/>
  </w:style>
  <w:style w:type="table" w:styleId="1066">
    <w:name w:val="Table Grid"/>
    <w:basedOn w:val="106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7" w:customStyle="1">
    <w:name w:val="Table Grid Light"/>
    <w:basedOn w:val="106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68">
    <w:name w:val="Plain Table 1"/>
    <w:basedOn w:val="106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69">
    <w:name w:val="Plain Table 2"/>
    <w:basedOn w:val="106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70">
    <w:name w:val="Plain Table 3"/>
    <w:basedOn w:val="10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71">
    <w:name w:val="Plain Table 4"/>
    <w:basedOn w:val="10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2">
    <w:name w:val="Plain Table 5"/>
    <w:basedOn w:val="10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73">
    <w:name w:val="Grid Table 1 Light"/>
    <w:basedOn w:val="106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4" w:customStyle="1">
    <w:name w:val="Grid Table 1 Light - Accent 1"/>
    <w:basedOn w:val="106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5" w:customStyle="1">
    <w:name w:val="Grid Table 1 Light - Accent 2"/>
    <w:basedOn w:val="106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6" w:customStyle="1">
    <w:name w:val="Grid Table 1 Light - Accent 3"/>
    <w:basedOn w:val="106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7" w:customStyle="1">
    <w:name w:val="Grid Table 1 Light - Accent 4"/>
    <w:basedOn w:val="106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8" w:customStyle="1">
    <w:name w:val="Grid Table 1 Light - Accent 5"/>
    <w:basedOn w:val="106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9" w:customStyle="1">
    <w:name w:val="Grid Table 1 Light - Accent 6"/>
    <w:basedOn w:val="106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0">
    <w:name w:val="Grid Table 2"/>
    <w:basedOn w:val="10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 w:customStyle="1">
    <w:name w:val="Grid Table 2 - Accent 1"/>
    <w:basedOn w:val="106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 w:customStyle="1">
    <w:name w:val="Grid Table 2 - Accent 2"/>
    <w:basedOn w:val="106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Grid Table 2 - Accent 3"/>
    <w:basedOn w:val="106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Grid Table 2 - Accent 4"/>
    <w:basedOn w:val="106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Grid Table 2 - Accent 5"/>
    <w:basedOn w:val="106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Grid Table 2 - Accent 6"/>
    <w:basedOn w:val="106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>
    <w:name w:val="Grid Table 3"/>
    <w:basedOn w:val="10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Grid Table 3 - Accent 1"/>
    <w:basedOn w:val="106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 w:customStyle="1">
    <w:name w:val="Grid Table 3 - Accent 2"/>
    <w:basedOn w:val="106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 w:customStyle="1">
    <w:name w:val="Grid Table 3 - Accent 3"/>
    <w:basedOn w:val="106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 w:customStyle="1">
    <w:name w:val="Grid Table 3 - Accent 4"/>
    <w:basedOn w:val="106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 w:customStyle="1">
    <w:name w:val="Grid Table 3 - Accent 5"/>
    <w:basedOn w:val="106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3" w:customStyle="1">
    <w:name w:val="Grid Table 3 - Accent 6"/>
    <w:basedOn w:val="106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>
    <w:name w:val="Grid Table 4"/>
    <w:basedOn w:val="106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95" w:customStyle="1">
    <w:name w:val="Grid Table 4 - Accent 1"/>
    <w:basedOn w:val="106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96" w:customStyle="1">
    <w:name w:val="Grid Table 4 - Accent 2"/>
    <w:basedOn w:val="106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97" w:customStyle="1">
    <w:name w:val="Grid Table 4 - Accent 3"/>
    <w:basedOn w:val="106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98" w:customStyle="1">
    <w:name w:val="Grid Table 4 - Accent 4"/>
    <w:basedOn w:val="106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99" w:customStyle="1">
    <w:name w:val="Grid Table 4 - Accent 5"/>
    <w:basedOn w:val="106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100" w:customStyle="1">
    <w:name w:val="Grid Table 4 - Accent 6"/>
    <w:basedOn w:val="106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101">
    <w:name w:val="Grid Table 5 Dark"/>
    <w:basedOn w:val="10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102" w:customStyle="1">
    <w:name w:val="Grid Table 5 Dark- Accent 1"/>
    <w:basedOn w:val="10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103" w:customStyle="1">
    <w:name w:val="Grid Table 5 Dark - Accent 2"/>
    <w:basedOn w:val="10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104" w:customStyle="1">
    <w:name w:val="Grid Table 5 Dark - Accent 3"/>
    <w:basedOn w:val="10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105" w:customStyle="1">
    <w:name w:val="Grid Table 5 Dark- Accent 4"/>
    <w:basedOn w:val="10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106" w:customStyle="1">
    <w:name w:val="Grid Table 5 Dark - Accent 5"/>
    <w:basedOn w:val="10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107" w:customStyle="1">
    <w:name w:val="Grid Table 5 Dark - Accent 6"/>
    <w:basedOn w:val="10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108">
    <w:name w:val="Grid Table 6 Colorful"/>
    <w:basedOn w:val="106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109" w:customStyle="1">
    <w:name w:val="Grid Table 6 Colorful - Accent 1"/>
    <w:basedOn w:val="106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110" w:customStyle="1">
    <w:name w:val="Grid Table 6 Colorful - Accent 2"/>
    <w:basedOn w:val="106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111" w:customStyle="1">
    <w:name w:val="Grid Table 6 Colorful - Accent 3"/>
    <w:basedOn w:val="106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112" w:customStyle="1">
    <w:name w:val="Grid Table 6 Colorful - Accent 4"/>
    <w:basedOn w:val="106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113" w:customStyle="1">
    <w:name w:val="Grid Table 6 Colorful - Accent 5"/>
    <w:basedOn w:val="106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14" w:customStyle="1">
    <w:name w:val="Grid Table 6 Colorful - Accent 6"/>
    <w:basedOn w:val="106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15">
    <w:name w:val="Grid Table 7 Colorful"/>
    <w:basedOn w:val="106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6" w:customStyle="1">
    <w:name w:val="Grid Table 7 Colorful - Accent 1"/>
    <w:basedOn w:val="106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7" w:customStyle="1">
    <w:name w:val="Grid Table 7 Colorful - Accent 2"/>
    <w:basedOn w:val="106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8" w:customStyle="1">
    <w:name w:val="Grid Table 7 Colorful - Accent 3"/>
    <w:basedOn w:val="106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9" w:customStyle="1">
    <w:name w:val="Grid Table 7 Colorful - Accent 4"/>
    <w:basedOn w:val="106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20" w:customStyle="1">
    <w:name w:val="Grid Table 7 Colorful - Accent 5"/>
    <w:basedOn w:val="106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21" w:customStyle="1">
    <w:name w:val="Grid Table 7 Colorful - Accent 6"/>
    <w:basedOn w:val="106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22">
    <w:name w:val="List Table 1 Light"/>
    <w:basedOn w:val="106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3" w:customStyle="1">
    <w:name w:val="List Table 1 Light - Accent 1"/>
    <w:basedOn w:val="106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4" w:customStyle="1">
    <w:name w:val="List Table 1 Light - Accent 2"/>
    <w:basedOn w:val="106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5" w:customStyle="1">
    <w:name w:val="List Table 1 Light - Accent 3"/>
    <w:basedOn w:val="106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6" w:customStyle="1">
    <w:name w:val="List Table 1 Light - Accent 4"/>
    <w:basedOn w:val="106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7" w:customStyle="1">
    <w:name w:val="List Table 1 Light - Accent 5"/>
    <w:basedOn w:val="106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8" w:customStyle="1">
    <w:name w:val="List Table 1 Light - Accent 6"/>
    <w:basedOn w:val="106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9">
    <w:name w:val="List Table 2"/>
    <w:basedOn w:val="106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30" w:customStyle="1">
    <w:name w:val="List Table 2 - Accent 1"/>
    <w:basedOn w:val="106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31" w:customStyle="1">
    <w:name w:val="List Table 2 - Accent 2"/>
    <w:basedOn w:val="106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32" w:customStyle="1">
    <w:name w:val="List Table 2 - Accent 3"/>
    <w:basedOn w:val="106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33" w:customStyle="1">
    <w:name w:val="List Table 2 - Accent 4"/>
    <w:basedOn w:val="106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34" w:customStyle="1">
    <w:name w:val="List Table 2 - Accent 5"/>
    <w:basedOn w:val="106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35" w:customStyle="1">
    <w:name w:val="List Table 2 - Accent 6"/>
    <w:basedOn w:val="106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36">
    <w:name w:val="List Table 3"/>
    <w:basedOn w:val="10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7" w:customStyle="1">
    <w:name w:val="List Table 3 - Accent 1"/>
    <w:basedOn w:val="106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8" w:customStyle="1">
    <w:name w:val="List Table 3 - Accent 2"/>
    <w:basedOn w:val="106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9" w:customStyle="1">
    <w:name w:val="List Table 3 - Accent 3"/>
    <w:basedOn w:val="106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0" w:customStyle="1">
    <w:name w:val="List Table 3 - Accent 4"/>
    <w:basedOn w:val="106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1" w:customStyle="1">
    <w:name w:val="List Table 3 - Accent 5"/>
    <w:basedOn w:val="106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2" w:customStyle="1">
    <w:name w:val="List Table 3 - Accent 6"/>
    <w:basedOn w:val="106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3">
    <w:name w:val="List Table 4"/>
    <w:basedOn w:val="10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4" w:customStyle="1">
    <w:name w:val="List Table 4 - Accent 1"/>
    <w:basedOn w:val="106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5" w:customStyle="1">
    <w:name w:val="List Table 4 - Accent 2"/>
    <w:basedOn w:val="106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6" w:customStyle="1">
    <w:name w:val="List Table 4 - Accent 3"/>
    <w:basedOn w:val="106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7" w:customStyle="1">
    <w:name w:val="List Table 4 - Accent 4"/>
    <w:basedOn w:val="106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8" w:customStyle="1">
    <w:name w:val="List Table 4 - Accent 5"/>
    <w:basedOn w:val="106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9" w:customStyle="1">
    <w:name w:val="List Table 4 - Accent 6"/>
    <w:basedOn w:val="106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0">
    <w:name w:val="List Table 5 Dark"/>
    <w:basedOn w:val="106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1" w:customStyle="1">
    <w:name w:val="List Table 5 Dark - Accent 1"/>
    <w:basedOn w:val="106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2" w:customStyle="1">
    <w:name w:val="List Table 5 Dark - Accent 2"/>
    <w:basedOn w:val="106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3" w:customStyle="1">
    <w:name w:val="List Table 5 Dark - Accent 3"/>
    <w:basedOn w:val="106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4" w:customStyle="1">
    <w:name w:val="List Table 5 Dark - Accent 4"/>
    <w:basedOn w:val="106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5" w:customStyle="1">
    <w:name w:val="List Table 5 Dark - Accent 5"/>
    <w:basedOn w:val="106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6" w:customStyle="1">
    <w:name w:val="List Table 5 Dark - Accent 6"/>
    <w:basedOn w:val="106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7">
    <w:name w:val="List Table 6 Colorful"/>
    <w:basedOn w:val="106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58" w:customStyle="1">
    <w:name w:val="List Table 6 Colorful - Accent 1"/>
    <w:basedOn w:val="106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59" w:customStyle="1">
    <w:name w:val="List Table 6 Colorful - Accent 2"/>
    <w:basedOn w:val="106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60" w:customStyle="1">
    <w:name w:val="List Table 6 Colorful - Accent 3"/>
    <w:basedOn w:val="106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61" w:customStyle="1">
    <w:name w:val="List Table 6 Colorful - Accent 4"/>
    <w:basedOn w:val="106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62" w:customStyle="1">
    <w:name w:val="List Table 6 Colorful - Accent 5"/>
    <w:basedOn w:val="106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63" w:customStyle="1">
    <w:name w:val="List Table 6 Colorful - Accent 6"/>
    <w:basedOn w:val="106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64">
    <w:name w:val="List Table 7 Colorful"/>
    <w:basedOn w:val="106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65" w:customStyle="1">
    <w:name w:val="List Table 7 Colorful - Accent 1"/>
    <w:basedOn w:val="106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66" w:customStyle="1">
    <w:name w:val="List Table 7 Colorful - Accent 2"/>
    <w:basedOn w:val="106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67" w:customStyle="1">
    <w:name w:val="List Table 7 Colorful - Accent 3"/>
    <w:basedOn w:val="106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68" w:customStyle="1">
    <w:name w:val="List Table 7 Colorful - Accent 4"/>
    <w:basedOn w:val="106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69" w:customStyle="1">
    <w:name w:val="List Table 7 Colorful - Accent 5"/>
    <w:basedOn w:val="106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70" w:customStyle="1">
    <w:name w:val="List Table 7 Colorful - Accent 6"/>
    <w:basedOn w:val="106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71" w:customStyle="1">
    <w:name w:val="Lined - Accent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72" w:customStyle="1">
    <w:name w:val="Lined - Accent 1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73" w:customStyle="1">
    <w:name w:val="Lined - Accent 2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74" w:customStyle="1">
    <w:name w:val="Lined - Accent 3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75" w:customStyle="1">
    <w:name w:val="Lined - Accent 4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76" w:customStyle="1">
    <w:name w:val="Lined - Accent 5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77" w:customStyle="1">
    <w:name w:val="Lined - Accent 6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78" w:customStyle="1">
    <w:name w:val="Bordered &amp; Lined - Accent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79" w:customStyle="1">
    <w:name w:val="Bordered &amp; Lined - Accent 1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80" w:customStyle="1">
    <w:name w:val="Bordered &amp; Lined - Accent 2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81" w:customStyle="1">
    <w:name w:val="Bordered &amp; Lined - Accent 3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82" w:customStyle="1">
    <w:name w:val="Bordered &amp; Lined - Accent 4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83" w:customStyle="1">
    <w:name w:val="Bordered &amp; Lined - Accent 5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84" w:customStyle="1">
    <w:name w:val="Bordered &amp; Lined - Accent 6"/>
    <w:basedOn w:val="106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85" w:customStyle="1">
    <w:name w:val="Bordered"/>
    <w:basedOn w:val="106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86" w:customStyle="1">
    <w:name w:val="Bordered - Accent 1"/>
    <w:basedOn w:val="106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87" w:customStyle="1">
    <w:name w:val="Bordered - Accent 2"/>
    <w:basedOn w:val="106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88" w:customStyle="1">
    <w:name w:val="Bordered - Accent 3"/>
    <w:basedOn w:val="106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89" w:customStyle="1">
    <w:name w:val="Bordered - Accent 4"/>
    <w:basedOn w:val="106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90" w:customStyle="1">
    <w:name w:val="Bordered - Accent 5"/>
    <w:basedOn w:val="106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91" w:customStyle="1">
    <w:name w:val="Bordered - Accent 6"/>
    <w:basedOn w:val="106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92">
    <w:name w:val="Hyperlink"/>
    <w:uiPriority w:val="99"/>
    <w:unhideWhenUsed/>
    <w:rPr>
      <w:color w:val="0000ff" w:themeColor="hyperlink"/>
      <w:u w:val="single"/>
    </w:rPr>
  </w:style>
  <w:style w:type="character" w:styleId="1193">
    <w:name w:val="footnote reference"/>
    <w:basedOn w:val="1063"/>
    <w:uiPriority w:val="99"/>
    <w:unhideWhenUsed/>
    <w:rPr>
      <w:vertAlign w:val="superscript"/>
    </w:rPr>
  </w:style>
  <w:style w:type="character" w:styleId="1194">
    <w:name w:val="endnote reference"/>
    <w:basedOn w:val="1063"/>
    <w:uiPriority w:val="99"/>
    <w:semiHidden/>
    <w:unhideWhenUsed/>
    <w:rPr>
      <w:vertAlign w:val="superscript"/>
    </w:rPr>
  </w:style>
  <w:style w:type="character" w:styleId="1195" w:customStyle="1">
    <w:name w:val="Heading 1 Char"/>
    <w:basedOn w:val="1063"/>
    <w:uiPriority w:val="9"/>
    <w:qFormat/>
    <w:rPr>
      <w:rFonts w:ascii="Arial" w:hAnsi="Arial" w:eastAsia="Arial" w:cs="Arial"/>
      <w:sz w:val="40"/>
      <w:szCs w:val="40"/>
    </w:rPr>
  </w:style>
  <w:style w:type="character" w:styleId="1196" w:customStyle="1">
    <w:name w:val="Heading 2 Char"/>
    <w:basedOn w:val="1063"/>
    <w:uiPriority w:val="9"/>
    <w:qFormat/>
    <w:rPr>
      <w:rFonts w:ascii="Arial" w:hAnsi="Arial" w:eastAsia="Arial" w:cs="Arial"/>
      <w:sz w:val="34"/>
    </w:rPr>
  </w:style>
  <w:style w:type="character" w:styleId="1197" w:customStyle="1">
    <w:name w:val="Heading 3 Char"/>
    <w:basedOn w:val="1063"/>
    <w:uiPriority w:val="9"/>
    <w:qFormat/>
    <w:rPr>
      <w:rFonts w:ascii="Arial" w:hAnsi="Arial" w:eastAsia="Arial" w:cs="Arial"/>
      <w:sz w:val="30"/>
      <w:szCs w:val="30"/>
    </w:rPr>
  </w:style>
  <w:style w:type="character" w:styleId="1198" w:customStyle="1">
    <w:name w:val="Heading 4 Char"/>
    <w:basedOn w:val="106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1199" w:customStyle="1">
    <w:name w:val="Heading 5 Char"/>
    <w:basedOn w:val="106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1200" w:customStyle="1">
    <w:name w:val="Heading 6 Char"/>
    <w:basedOn w:val="106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1201" w:customStyle="1">
    <w:name w:val="Heading 7 Char"/>
    <w:basedOn w:val="106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1202" w:customStyle="1">
    <w:name w:val="Heading 8 Char"/>
    <w:basedOn w:val="106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1203" w:customStyle="1">
    <w:name w:val="Heading 9 Char"/>
    <w:basedOn w:val="106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204" w:customStyle="1">
    <w:name w:val="Title Char"/>
    <w:basedOn w:val="1063"/>
    <w:uiPriority w:val="10"/>
    <w:qFormat/>
    <w:rPr>
      <w:sz w:val="48"/>
      <w:szCs w:val="48"/>
    </w:rPr>
  </w:style>
  <w:style w:type="character" w:styleId="1205" w:customStyle="1">
    <w:name w:val="Subtitle Char"/>
    <w:basedOn w:val="1063"/>
    <w:uiPriority w:val="11"/>
    <w:qFormat/>
    <w:rPr>
      <w:sz w:val="24"/>
      <w:szCs w:val="24"/>
    </w:rPr>
  </w:style>
  <w:style w:type="character" w:styleId="1206" w:customStyle="1">
    <w:name w:val="Quote Char"/>
    <w:uiPriority w:val="29"/>
    <w:qFormat/>
    <w:rPr>
      <w:i/>
    </w:rPr>
  </w:style>
  <w:style w:type="character" w:styleId="1207" w:customStyle="1">
    <w:name w:val="Intense Quote Char"/>
    <w:uiPriority w:val="30"/>
    <w:qFormat/>
    <w:rPr>
      <w:i/>
    </w:rPr>
  </w:style>
  <w:style w:type="character" w:styleId="1208" w:customStyle="1">
    <w:name w:val="Header Char"/>
    <w:basedOn w:val="1063"/>
    <w:uiPriority w:val="99"/>
    <w:qFormat/>
  </w:style>
  <w:style w:type="character" w:styleId="1209" w:customStyle="1">
    <w:name w:val="Footer Char"/>
    <w:basedOn w:val="1063"/>
    <w:uiPriority w:val="99"/>
    <w:qFormat/>
  </w:style>
  <w:style w:type="character" w:styleId="1210" w:customStyle="1">
    <w:name w:val="Caption Char"/>
    <w:uiPriority w:val="99"/>
    <w:qFormat/>
  </w:style>
  <w:style w:type="character" w:styleId="1211" w:customStyle="1">
    <w:name w:val="Интернет-ссылка"/>
    <w:uiPriority w:val="99"/>
    <w:unhideWhenUsed/>
    <w:rPr>
      <w:color w:val="0000ff" w:themeColor="hyperlink"/>
      <w:u w:val="single"/>
    </w:rPr>
  </w:style>
  <w:style w:type="character" w:styleId="1212" w:customStyle="1">
    <w:name w:val="Footnote Text Char"/>
    <w:uiPriority w:val="99"/>
    <w:qFormat/>
    <w:rPr>
      <w:sz w:val="18"/>
    </w:rPr>
  </w:style>
  <w:style w:type="character" w:styleId="1213" w:customStyle="1">
    <w:name w:val="Символ сноски"/>
    <w:uiPriority w:val="99"/>
    <w:unhideWhenUsed/>
    <w:qFormat/>
    <w:rPr>
      <w:vertAlign w:val="superscript"/>
    </w:rPr>
  </w:style>
  <w:style w:type="character" w:styleId="1214" w:customStyle="1">
    <w:name w:val="Привязка сноски"/>
    <w:rPr>
      <w:vertAlign w:val="superscript"/>
    </w:rPr>
  </w:style>
  <w:style w:type="character" w:styleId="1215" w:customStyle="1">
    <w:name w:val="Endnote Text Char"/>
    <w:uiPriority w:val="99"/>
    <w:qFormat/>
    <w:rPr>
      <w:sz w:val="20"/>
    </w:rPr>
  </w:style>
  <w:style w:type="character" w:styleId="121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1217" w:customStyle="1">
    <w:name w:val="Привязка концевой сноски"/>
    <w:rPr>
      <w:vertAlign w:val="superscript"/>
    </w:rPr>
  </w:style>
  <w:style w:type="character" w:styleId="1218" w:customStyle="1">
    <w:name w:val="Без интервала Знак"/>
    <w:basedOn w:val="1063"/>
    <w:uiPriority w:val="1"/>
    <w:qFormat/>
    <w:rPr>
      <w:rFonts w:eastAsiaTheme="minorEastAsia"/>
      <w:lang w:eastAsia="ru-RU"/>
    </w:rPr>
  </w:style>
  <w:style w:type="character" w:styleId="1219" w:customStyle="1">
    <w:name w:val="Текст выноски Знак"/>
    <w:basedOn w:val="1063"/>
    <w:uiPriority w:val="99"/>
    <w:semiHidden/>
    <w:qFormat/>
    <w:rPr>
      <w:rFonts w:ascii="Tahoma" w:hAnsi="Tahoma" w:cs="Tahoma"/>
      <w:sz w:val="16"/>
      <w:szCs w:val="16"/>
    </w:rPr>
  </w:style>
  <w:style w:type="character" w:styleId="1220" w:customStyle="1">
    <w:name w:val="Верхний колонтитул Знак"/>
    <w:basedOn w:val="1063"/>
    <w:uiPriority w:val="99"/>
    <w:qFormat/>
  </w:style>
  <w:style w:type="character" w:styleId="1221" w:customStyle="1">
    <w:name w:val="Нижний колонтитул Знак"/>
    <w:basedOn w:val="1063"/>
    <w:uiPriority w:val="99"/>
    <w:qFormat/>
  </w:style>
  <w:style w:type="character" w:styleId="1222" w:customStyle="1">
    <w:name w:val="Маркеры"/>
    <w:qFormat/>
    <w:rPr>
      <w:rFonts w:ascii="OpenSymbol" w:hAnsi="OpenSymbol" w:eastAsia="OpenSymbol" w:cs="OpenSymbol"/>
    </w:rPr>
  </w:style>
  <w:style w:type="paragraph" w:styleId="1223">
    <w:name w:val="Title"/>
    <w:basedOn w:val="1053"/>
    <w:next w:val="1224"/>
    <w:uiPriority w:val="10"/>
    <w:qFormat/>
    <w:pPr>
      <w:contextualSpacing/>
      <w:spacing w:before="300"/>
    </w:pPr>
    <w:rPr>
      <w:sz w:val="48"/>
      <w:szCs w:val="48"/>
    </w:rPr>
  </w:style>
  <w:style w:type="paragraph" w:styleId="1224">
    <w:name w:val="Body Text"/>
    <w:basedOn w:val="1053"/>
    <w:pPr>
      <w:spacing w:after="140"/>
    </w:pPr>
  </w:style>
  <w:style w:type="paragraph" w:styleId="1225">
    <w:name w:val="List"/>
    <w:basedOn w:val="1224"/>
    <w:rPr>
      <w:rFonts w:cs="Lohit Devanagari"/>
    </w:rPr>
  </w:style>
  <w:style w:type="paragraph" w:styleId="1226">
    <w:name w:val="Caption"/>
    <w:basedOn w:val="105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1227">
    <w:name w:val="index heading"/>
    <w:basedOn w:val="1223"/>
  </w:style>
  <w:style w:type="paragraph" w:styleId="1228">
    <w:name w:val="Subtitle"/>
    <w:basedOn w:val="1053"/>
    <w:uiPriority w:val="11"/>
    <w:qFormat/>
    <w:pPr>
      <w:spacing w:before="200"/>
    </w:pPr>
    <w:rPr>
      <w:sz w:val="24"/>
      <w:szCs w:val="24"/>
    </w:rPr>
  </w:style>
  <w:style w:type="paragraph" w:styleId="1229">
    <w:name w:val="Quote"/>
    <w:basedOn w:val="1053"/>
    <w:uiPriority w:val="29"/>
    <w:qFormat/>
    <w:pPr>
      <w:ind w:left="720" w:right="720"/>
    </w:pPr>
    <w:rPr>
      <w:i/>
    </w:rPr>
  </w:style>
  <w:style w:type="paragraph" w:styleId="1230">
    <w:name w:val="Intense Quote"/>
    <w:basedOn w:val="105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231">
    <w:name w:val="footnote text"/>
    <w:basedOn w:val="1053"/>
    <w:uiPriority w:val="99"/>
    <w:semiHidden/>
    <w:unhideWhenUsed/>
    <w:pPr>
      <w:spacing w:after="40" w:line="240" w:lineRule="auto"/>
    </w:pPr>
    <w:rPr>
      <w:sz w:val="18"/>
    </w:rPr>
  </w:style>
  <w:style w:type="paragraph" w:styleId="1232">
    <w:name w:val="endnote text"/>
    <w:basedOn w:val="1053"/>
    <w:uiPriority w:val="99"/>
    <w:semiHidden/>
    <w:unhideWhenUsed/>
    <w:pPr>
      <w:spacing w:after="0" w:line="240" w:lineRule="auto"/>
    </w:pPr>
    <w:rPr>
      <w:sz w:val="20"/>
    </w:rPr>
  </w:style>
  <w:style w:type="paragraph" w:styleId="1233">
    <w:name w:val="toc 1"/>
    <w:basedOn w:val="1053"/>
    <w:uiPriority w:val="39"/>
    <w:unhideWhenUsed/>
    <w:pPr>
      <w:spacing w:after="57"/>
    </w:pPr>
  </w:style>
  <w:style w:type="paragraph" w:styleId="1234">
    <w:name w:val="toc 2"/>
    <w:basedOn w:val="1053"/>
    <w:uiPriority w:val="39"/>
    <w:unhideWhenUsed/>
    <w:pPr>
      <w:ind w:left="283"/>
      <w:spacing w:after="57"/>
    </w:pPr>
  </w:style>
  <w:style w:type="paragraph" w:styleId="1235">
    <w:name w:val="toc 3"/>
    <w:basedOn w:val="1053"/>
    <w:uiPriority w:val="39"/>
    <w:unhideWhenUsed/>
    <w:pPr>
      <w:ind w:left="567"/>
      <w:spacing w:after="57"/>
    </w:pPr>
  </w:style>
  <w:style w:type="paragraph" w:styleId="1236">
    <w:name w:val="toc 4"/>
    <w:basedOn w:val="1053"/>
    <w:uiPriority w:val="39"/>
    <w:unhideWhenUsed/>
    <w:pPr>
      <w:ind w:left="850"/>
      <w:spacing w:after="57"/>
    </w:pPr>
  </w:style>
  <w:style w:type="paragraph" w:styleId="1237">
    <w:name w:val="toc 5"/>
    <w:basedOn w:val="1053"/>
    <w:uiPriority w:val="39"/>
    <w:unhideWhenUsed/>
    <w:pPr>
      <w:ind w:left="1134"/>
      <w:spacing w:after="57"/>
    </w:pPr>
  </w:style>
  <w:style w:type="paragraph" w:styleId="1238">
    <w:name w:val="toc 6"/>
    <w:basedOn w:val="1053"/>
    <w:uiPriority w:val="39"/>
    <w:unhideWhenUsed/>
    <w:pPr>
      <w:ind w:left="1417"/>
      <w:spacing w:after="57"/>
    </w:pPr>
  </w:style>
  <w:style w:type="paragraph" w:styleId="1239">
    <w:name w:val="toc 7"/>
    <w:basedOn w:val="1053"/>
    <w:uiPriority w:val="39"/>
    <w:unhideWhenUsed/>
    <w:pPr>
      <w:ind w:left="1701"/>
      <w:spacing w:after="57"/>
    </w:pPr>
  </w:style>
  <w:style w:type="paragraph" w:styleId="1240">
    <w:name w:val="toc 8"/>
    <w:basedOn w:val="1053"/>
    <w:uiPriority w:val="39"/>
    <w:unhideWhenUsed/>
    <w:pPr>
      <w:ind w:left="1984"/>
      <w:spacing w:after="57"/>
    </w:pPr>
  </w:style>
  <w:style w:type="paragraph" w:styleId="1241">
    <w:name w:val="toc 9"/>
    <w:basedOn w:val="1053"/>
    <w:uiPriority w:val="39"/>
    <w:unhideWhenUsed/>
    <w:pPr>
      <w:ind w:left="2268"/>
      <w:spacing w:after="57"/>
    </w:pPr>
  </w:style>
  <w:style w:type="paragraph" w:styleId="1242">
    <w:name w:val="TOC Heading"/>
    <w:uiPriority w:val="39"/>
    <w:unhideWhenUsed/>
    <w:pPr>
      <w:spacing w:after="200" w:line="276" w:lineRule="auto"/>
    </w:pPr>
  </w:style>
  <w:style w:type="paragraph" w:styleId="1243">
    <w:name w:val="table of figures"/>
    <w:basedOn w:val="1053"/>
    <w:uiPriority w:val="99"/>
    <w:unhideWhenUsed/>
    <w:qFormat/>
    <w:pPr>
      <w:spacing w:after="0"/>
    </w:pPr>
  </w:style>
  <w:style w:type="paragraph" w:styleId="1244">
    <w:name w:val="No Spacing"/>
    <w:uiPriority w:val="1"/>
    <w:qFormat/>
    <w:rPr>
      <w:rFonts w:ascii="Calibri" w:hAnsi="Calibri" w:cs="Arial" w:eastAsiaTheme="minorEastAsia"/>
      <w:lang w:eastAsia="ru-RU"/>
    </w:rPr>
  </w:style>
  <w:style w:type="paragraph" w:styleId="1245">
    <w:name w:val="Balloon Text"/>
    <w:basedOn w:val="1053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46">
    <w:name w:val="Normal (Web)"/>
    <w:basedOn w:val="1053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7">
    <w:name w:val="List Paragraph"/>
    <w:basedOn w:val="1053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8" w:customStyle="1">
    <w:name w:val="Колонтитул"/>
    <w:basedOn w:val="1053"/>
    <w:qFormat/>
  </w:style>
  <w:style w:type="paragraph" w:styleId="1249">
    <w:name w:val="Header"/>
    <w:basedOn w:val="105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1250">
    <w:name w:val="Footer"/>
    <w:basedOn w:val="105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1251" w:customStyle="1">
    <w:name w:val="Содержимое врезки"/>
    <w:basedOn w:val="1053"/>
    <w:qFormat/>
  </w:style>
  <w:style w:type="paragraph" w:styleId="1252" w:customStyle="1">
    <w:name w:val="Содержимое таблицы"/>
    <w:basedOn w:val="1053"/>
    <w:qFormat/>
    <w:pPr>
      <w:widowControl w:val="off"/>
      <w:suppressLineNumbers/>
    </w:pPr>
  </w:style>
  <w:style w:type="paragraph" w:styleId="1253" w:customStyle="1">
    <w:name w:val="Заголовок таблицы"/>
    <w:basedOn w:val="1252"/>
    <w:qFormat/>
    <w:pPr>
      <w:jc w:val="center"/>
    </w:pPr>
    <w:rPr>
      <w:b/>
      <w:bCs/>
    </w:rPr>
  </w:style>
  <w:style w:type="paragraph" w:styleId="1254" w:customStyle="1">
    <w:name w:val="docdata"/>
    <w:basedOn w:val="105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55" w:customStyle="1">
    <w:name w:val="apple-converted-space"/>
    <w:basedOn w:val="1063"/>
  </w:style>
  <w:style w:type="numbering" w:styleId="1256" w:customStyle="1">
    <w:name w:val="Текущий список1"/>
    <w:uiPriority w:val="99"/>
    <w:pPr>
      <w:numPr>
        <w:ilvl w:val="0"/>
        <w:numId w:val="214"/>
      </w:numPr>
    </w:pPr>
  </w:style>
  <w:style w:type="numbering" w:styleId="1257" w:customStyle="1">
    <w:name w:val="Текущий список2"/>
    <w:uiPriority w:val="99"/>
    <w:pPr>
      <w:numPr>
        <w:ilvl w:val="0"/>
        <w:numId w:val="215"/>
      </w:numPr>
    </w:pPr>
  </w:style>
  <w:style w:type="numbering" w:styleId="1258" w:customStyle="1">
    <w:name w:val="Текущий список3"/>
    <w:uiPriority w:val="99"/>
    <w:pPr>
      <w:numPr>
        <w:ilvl w:val="0"/>
        <w:numId w:val="217"/>
      </w:numPr>
    </w:pPr>
  </w:style>
  <w:style w:type="numbering" w:styleId="1259" w:customStyle="1">
    <w:name w:val="Текущий список4"/>
    <w:uiPriority w:val="99"/>
    <w:pPr>
      <w:numPr>
        <w:ilvl w:val="0"/>
        <w:numId w:val="222"/>
      </w:numP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image" Target="media/image20.png"/><Relationship Id="rId32" Type="http://schemas.openxmlformats.org/officeDocument/2006/relationships/image" Target="media/image21.png"/><Relationship Id="rId33" Type="http://schemas.openxmlformats.org/officeDocument/2006/relationships/image" Target="media/image22.png"/><Relationship Id="rId34" Type="http://schemas.openxmlformats.org/officeDocument/2006/relationships/image" Target="media/image23.png"/><Relationship Id="rId35" Type="http://schemas.openxmlformats.org/officeDocument/2006/relationships/image" Target="media/image24.png"/><Relationship Id="rId36" Type="http://schemas.openxmlformats.org/officeDocument/2006/relationships/image" Target="media/image25.png"/><Relationship Id="rId37" Type="http://schemas.openxmlformats.org/officeDocument/2006/relationships/image" Target="media/image26.png"/><Relationship Id="rId38" Type="http://schemas.openxmlformats.org/officeDocument/2006/relationships/image" Target="media/image27.png"/><Relationship Id="rId39" Type="http://schemas.openxmlformats.org/officeDocument/2006/relationships/image" Target="media/image28.png"/><Relationship Id="rId40" Type="http://schemas.openxmlformats.org/officeDocument/2006/relationships/image" Target="media/image29.png"/><Relationship Id="rId41" Type="http://schemas.openxmlformats.org/officeDocument/2006/relationships/image" Target="media/image30.png"/><Relationship Id="rId42" Type="http://schemas.openxmlformats.org/officeDocument/2006/relationships/image" Target="media/image31.png"/><Relationship Id="rId43" Type="http://schemas.openxmlformats.org/officeDocument/2006/relationships/image" Target="media/image32.png"/><Relationship Id="rId44" Type="http://schemas.openxmlformats.org/officeDocument/2006/relationships/image" Target="media/image33.png"/><Relationship Id="rId45" Type="http://schemas.openxmlformats.org/officeDocument/2006/relationships/diagramData" Target="diagrams/data1.xml" /><Relationship Id="rId46" Type="http://schemas.microsoft.com/office/2007/relationships/diagramDrawing" Target="diagrams/drawing1.xml" /><Relationship Id="rId47" Type="http://schemas.openxmlformats.org/officeDocument/2006/relationships/diagramColors" Target="diagrams/colors1.xml" /><Relationship Id="rId48" Type="http://schemas.openxmlformats.org/officeDocument/2006/relationships/diagramLayout" Target="diagrams/layout1.xml" /><Relationship Id="rId49" Type="http://schemas.openxmlformats.org/officeDocument/2006/relationships/diagramQuickStyle" Target="diagrams/quickStyle1.xml" /><Relationship Id="rId50" Type="http://schemas.openxmlformats.org/officeDocument/2006/relationships/image" Target="media/image34.png"/><Relationship Id="rId51" Type="http://schemas.openxmlformats.org/officeDocument/2006/relationships/image" Target="media/image35.png"/><Relationship Id="rId52" Type="http://schemas.openxmlformats.org/officeDocument/2006/relationships/image" Target="media/image36.png"/><Relationship Id="rId53" Type="http://schemas.openxmlformats.org/officeDocument/2006/relationships/image" Target="media/image37.png"/><Relationship Id="rId54" Type="http://schemas.openxmlformats.org/officeDocument/2006/relationships/image" Target="media/image38.png"/><Relationship Id="rId55" Type="http://schemas.openxmlformats.org/officeDocument/2006/relationships/image" Target="media/image39.png"/><Relationship Id="rId56" Type="http://schemas.openxmlformats.org/officeDocument/2006/relationships/image" Target="media/image40.png"/><Relationship Id="rId57" Type="http://schemas.openxmlformats.org/officeDocument/2006/relationships/image" Target="media/image41.png"/><Relationship Id="rId58" Type="http://schemas.openxmlformats.org/officeDocument/2006/relationships/diagramData" Target="diagrams/data2.xml" /><Relationship Id="rId59" Type="http://schemas.microsoft.com/office/2007/relationships/diagramDrawing" Target="diagrams/drawing2.xml" /><Relationship Id="rId60" Type="http://schemas.openxmlformats.org/officeDocument/2006/relationships/diagramColors" Target="diagrams/colors2.xml" /><Relationship Id="rId61" Type="http://schemas.openxmlformats.org/officeDocument/2006/relationships/diagramLayout" Target="diagrams/layout2.xml" /><Relationship Id="rId62" Type="http://schemas.openxmlformats.org/officeDocument/2006/relationships/diagramQuickStyle" Target="diagrams/quickStyle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diagrams/_rels/data1.xml.rels><?xml version="1.0" encoding="UTF-8" standalone="yes"?><Relationships xmlns="http://schemas.openxmlformats.org/package/2006/relationships"><Relationship Id="rId1" Type="http://schemas.microsoft.com/office/2007/relationships/diagramDrawing" Target="diagrams/drawing1.xml" /></Relationships>
</file>

<file path=word/diagrams/_rels/data2.xml.rels><?xml version="1.0" encoding="UTF-8" standalone="yes"?><Relationships xmlns="http://schemas.openxmlformats.org/package/2006/relationships"><Relationship Id="rId1" Type="http://schemas.microsoft.com/office/2007/relationships/diagramDrawing" Target="diagrams/drawing2.xml" /></Relationships>
</file>

<file path=word/diagrams/_rels/drawing1.xml.rels><?xml version="1.0" encoding="UTF-8" standalone="yes"?><Relationships xmlns="http://schemas.openxmlformats.org/package/2006/relationships"></Relationships>
</file>

<file path=word/diagrams/_rels/drawing2.xml.rels><?xml version="1.0" encoding="UTF-8" standalone="yes"?><Relationships xmlns="http://schemas.openxmlformats.org/package/2006/relationships"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 xmlns:r="http://schemas.openxmlformats.org/officeDocument/2006/relationships">
  <dgm:ptLst>
    <dgm:pt modelId="{7BDA1E39-B130-4696-A4AD-406D940CC80B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 bwMode="auto"/>
      <dgm:t>
        <a:bodyPr/>
        <a:lstStyle/>
        <a:p>
          <a:pPr>
            <a:defRPr/>
          </a:pPr>
          <a:endParaRPr lang="ru-RU"/>
        </a:p>
      </dgm:t>
    </dgm:pt>
    <dgm:pt modelId="{144FAF29-B2A8-4C58-952A-CCA93545CB32}">
      <dgm:prSet phldrT="[Текст]" custT="1"/>
      <dgm:spPr bwMode="auto"/>
      <dgm:t>
        <a:bodyPr/>
        <a:lstStyle/>
        <a:p>
          <a:pPr>
            <a:defRPr/>
          </a:pPr>
          <a:r>
            <a:rPr lang="ru-RU" sz="1000" b="1">
              <a:latin typeface="Arial Narrow"/>
            </a:rPr>
            <a:t>Цели</a:t>
          </a:r>
          <a:endParaRPr/>
        </a:p>
      </dgm:t>
    </dgm:pt>
    <dgm:pt modelId="{C6F5381F-C309-42F0-B23B-7D4CA062E3DA}" type="parTrans" cxnId="{F528665C-2EF7-42FA-BB56-5C9468AB8193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C9A50E17-85AB-47EB-8A2F-58B7460CA06F}" type="sibTrans" cxnId="{F528665C-2EF7-42FA-BB56-5C9468AB8193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A1369A55-490D-41C2-96E4-22819462D038}">
      <dgm:prSet phldrT="[Текст]" custT="1"/>
      <dgm:spPr bwMode="auto"/>
      <dgm:t>
        <a:bodyPr/>
        <a:lstStyle/>
        <a:p>
          <a:pPr>
            <a:defRPr/>
          </a:pPr>
          <a:r>
            <a:rPr lang="ru-RU" sz="1200">
              <a:latin typeface="Arial Narrow"/>
            </a:rPr>
            <a:t>Стратегические ориентиры</a:t>
          </a:r>
          <a:endParaRPr/>
        </a:p>
      </dgm:t>
    </dgm:pt>
    <dgm:pt modelId="{78F4D573-2CDA-4171-9328-B4FE4B0A680F}" type="parTrans" cxnId="{57DEC6DB-BCEE-4C1B-8B99-42D0F842AE7F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A2AA0417-5519-4EEF-8400-1AB3423BAFD6}" type="sibTrans" cxnId="{57DEC6DB-BCEE-4C1B-8B99-42D0F842AE7F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6E253C7A-3BD7-43F8-8C94-B13667A96597}">
      <dgm:prSet phldrT="[Текст]" custT="1"/>
      <dgm:spPr bwMode="auto"/>
      <dgm:t>
        <a:bodyPr/>
        <a:lstStyle/>
        <a:p>
          <a:pPr>
            <a:defRPr/>
          </a:pPr>
          <a:r>
            <a:rPr lang="ru-RU" sz="1200">
              <a:latin typeface="Arial Narrow"/>
            </a:rPr>
            <a:t>Цели и задачи</a:t>
          </a:r>
          <a:endParaRPr/>
        </a:p>
      </dgm:t>
    </dgm:pt>
    <dgm:pt modelId="{E11E9494-A157-4EB8-9436-65D1DF640B23}" type="parTrans" cxnId="{212F8305-A93F-4A80-9D3A-E861F656D56D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21CD1422-2182-4B59-A52F-34B24B1B2290}" type="sibTrans" cxnId="{212F8305-A93F-4A80-9D3A-E861F656D56D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356B1ECE-1111-4F4B-AFB1-C899399BE828}">
      <dgm:prSet phldrT="[Текст]" custT="1"/>
      <dgm:spPr bwMode="auto"/>
      <dgm:t>
        <a:bodyPr/>
        <a:lstStyle/>
        <a:p>
          <a:pPr>
            <a:defRPr/>
          </a:pPr>
          <a:r>
            <a:rPr lang="ru-RU" sz="1000" b="1">
              <a:latin typeface="Arial Narrow"/>
            </a:rPr>
            <a:t>План</a:t>
          </a:r>
          <a:endParaRPr/>
        </a:p>
      </dgm:t>
    </dgm:pt>
    <dgm:pt modelId="{7DD10036-5FA8-4DE8-9AE6-7B4F3CDB85AF}" type="parTrans" cxnId="{4BDEFAD2-6417-49DE-B20F-64D320A37005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35ECD6BE-AB2B-4170-95B1-52EA2A977383}" type="sibTrans" cxnId="{4BDEFAD2-6417-49DE-B20F-64D320A37005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25F0A5EC-72FC-4EAF-AA6A-62D0CDB2597E}">
      <dgm:prSet phldrT="[Текст]" custT="1"/>
      <dgm:spPr bwMode="auto">
        <a:solidFill>
          <a:schemeClr val="tx2">
            <a:lumMod val="20000"/>
            <a:lumOff val="80000"/>
            <a:alpha val="90000"/>
          </a:schemeClr>
        </a:solidFill>
      </dgm:spPr>
      <dgm:t>
        <a:bodyPr/>
        <a:lstStyle/>
        <a:p>
          <a:pPr>
            <a:defRPr/>
          </a:pPr>
          <a:r>
            <a:rPr lang="ru-RU" sz="1200">
              <a:latin typeface="Arial Narrow"/>
            </a:rPr>
            <a:t>План мероприятий, проводимых на международном, федеральном и региональном уровнях</a:t>
          </a:r>
          <a:endParaRPr/>
        </a:p>
      </dgm:t>
    </dgm:pt>
    <dgm:pt modelId="{2A23166C-00C4-40FA-9589-1EEE370CB3AA}" type="parTrans" cxnId="{49811EBD-02C6-4A5E-99F5-331583CFB7C9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6CA3F2EA-AA6B-41EE-B775-35D1438879EE}" type="sibTrans" cxnId="{49811EBD-02C6-4A5E-99F5-331583CFB7C9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0E185559-FAC0-40C7-831D-854E340EEA5D}">
      <dgm:prSet phldrT="[Текст]" custT="1"/>
      <dgm:spPr bwMode="auto"/>
      <dgm:t>
        <a:bodyPr/>
        <a:lstStyle/>
        <a:p>
          <a:pPr>
            <a:defRPr/>
          </a:pPr>
          <a:r>
            <a:rPr lang="ru-RU" sz="1000" b="1">
              <a:latin typeface="Arial Narrow"/>
            </a:rPr>
            <a:t>Ресурсный план</a:t>
          </a:r>
          <a:endParaRPr/>
        </a:p>
      </dgm:t>
    </dgm:pt>
    <dgm:pt modelId="{BF6D1096-985E-41B9-9E10-2D3E20C8CF69}" type="parTrans" cxnId="{DB791077-BFCE-4A32-A53B-380113012B30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33B27EFF-D31B-4F82-B082-6FAE5C6D9B92}" type="sibTrans" cxnId="{DB791077-BFCE-4A32-A53B-380113012B30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EDF0F482-A320-4832-BB0B-7589916CC46F}">
      <dgm:prSet phldrT="[Текст]" custT="1"/>
      <dgm:spPr bwMode="auto"/>
      <dgm:t>
        <a:bodyPr/>
        <a:lstStyle/>
        <a:p>
          <a:pPr>
            <a:defRPr/>
          </a:pPr>
          <a:r>
            <a:rPr lang="ru-RU" sz="1200">
              <a:latin typeface="Arial Narrow"/>
            </a:rPr>
            <a:t>Оценка потребности в ресурсах</a:t>
          </a:r>
          <a:endParaRPr/>
        </a:p>
      </dgm:t>
    </dgm:pt>
    <dgm:pt modelId="{845D7AA0-1CF8-4B28-9F0B-5C9C697EADC6}" type="parTrans" cxnId="{8F38963B-963B-417C-98B2-361F0CF3ED58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9EF8C9AA-9877-4B62-AF59-ECD6ADA76608}" type="sibTrans" cxnId="{8F38963B-963B-417C-98B2-361F0CF3ED58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AFBB16A3-91E7-41B7-80F0-6F41DD5D3514}">
      <dgm:prSet phldrT="[Текст]" custT="1"/>
      <dgm:spPr bwMode="auto"/>
      <dgm:t>
        <a:bodyPr/>
        <a:lstStyle/>
        <a:p>
          <a:pPr>
            <a:defRPr/>
          </a:pPr>
          <a:r>
            <a:rPr lang="ru-RU" sz="1200">
              <a:latin typeface="Arial Narrow"/>
            </a:rPr>
            <a:t>Финансовый план</a:t>
          </a:r>
          <a:endParaRPr/>
        </a:p>
      </dgm:t>
    </dgm:pt>
    <dgm:pt modelId="{544CD6BB-EBB8-48EF-BCE6-AEB540DC7B3E}" type="parTrans" cxnId="{481F00EF-2578-4834-A6CD-B6E9FAEB669F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E3005987-2F31-4445-8D1A-8BF0F39AAA22}" type="sibTrans" cxnId="{481F00EF-2578-4834-A6CD-B6E9FAEB669F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6445C1DA-B3BB-43D5-AEDA-8B0E12C3A9FB}">
      <dgm:prSet phldrT="" custT="1"/>
      <dgm:spPr bwMode="auto"/>
      <dgm:t>
        <a:bodyPr/>
        <a:lstStyle/>
        <a:p>
          <a:pPr>
            <a:defRPr/>
          </a:pPr>
          <a:r>
            <a:rPr lang="ru-RU" sz="1000" b="1">
              <a:latin typeface="Arial Narrow"/>
            </a:rPr>
            <a:t>Система контроля</a:t>
          </a:r>
          <a:endParaRPr/>
        </a:p>
      </dgm:t>
    </dgm:pt>
    <dgm:pt modelId="{CAEE1565-C09E-4D3D-807D-21F1405C2E80}" type="parTrans" cxnId="{6B319339-C082-407F-820B-67317679BFD0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A69DAB12-6397-4A31-89BA-8B34DDE7F8EA}" type="sibTrans" cxnId="{6B319339-C082-407F-820B-67317679BFD0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8E22C3C8-6C14-4E28-A443-C3BEB3E51B89}">
      <dgm:prSet phldrT="[Текст]" custT="1"/>
      <dgm:spPr bwMode="auto"/>
      <dgm:t>
        <a:bodyPr/>
        <a:lstStyle/>
        <a:p>
          <a:pPr>
            <a:defRPr/>
          </a:pPr>
          <a:r>
            <a:rPr lang="ru-RU" sz="1200">
              <a:latin typeface="Arial Narrow"/>
            </a:rPr>
            <a:t>Приоритетные направления</a:t>
          </a:r>
          <a:endParaRPr/>
        </a:p>
      </dgm:t>
    </dgm:pt>
    <dgm:pt modelId="{5F82D7FE-1213-4D95-8FE0-15454E06A06F}" type="parTrans" cxnId="{773C26E8-A798-4EA9-B79D-7FDB742A8805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C10C4FB9-44BD-46F3-AEF7-AB6632B1846A}" type="sibTrans" cxnId="{773C26E8-A798-4EA9-B79D-7FDB742A8805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0A8BD1F6-9191-40D8-AE90-44CA8CB20F6F}">
      <dgm:prSet phldrT="[Текст]" custT="1"/>
      <dgm:spPr bwMode="auto"/>
      <dgm:t>
        <a:bodyPr/>
        <a:lstStyle/>
        <a:p>
          <a:pPr>
            <a:defRPr/>
          </a:pPr>
          <a:r>
            <a:rPr lang="ru-RU" sz="1200">
              <a:latin typeface="Arial Narrow"/>
            </a:rPr>
            <a:t>Бизнес-план</a:t>
          </a:r>
          <a:endParaRPr/>
        </a:p>
      </dgm:t>
    </dgm:pt>
    <dgm:pt modelId="{0EF750A7-F6EC-4A2F-9BB7-753AAED57A24}" type="parTrans" cxnId="{C3BBE49B-B1EC-4CBB-A5AA-A82BDE9FADE1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115C4F33-17D4-49B1-9F79-4D2C0A4BBC9C}" type="sibTrans" cxnId="{C3BBE49B-B1EC-4CBB-A5AA-A82BDE9FADE1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7CE6FD2F-9107-4FE6-96A4-FC2EA0986081}">
      <dgm:prSet phldrT="" custT="1"/>
      <dgm:spPr bwMode="auto"/>
      <dgm:t>
        <a:bodyPr/>
        <a:lstStyle/>
        <a:p>
          <a:pPr>
            <a:defRPr/>
          </a:pPr>
          <a:r>
            <a:rPr lang="ru-RU" sz="1200">
              <a:latin typeface="Arial Narrow"/>
            </a:rPr>
            <a:t>Установление показателей</a:t>
          </a:r>
          <a:endParaRPr/>
        </a:p>
      </dgm:t>
    </dgm:pt>
    <dgm:pt modelId="{9376F9A8-D6EF-4613-93DF-D39A09557D52}" type="parTrans" cxnId="{2D57DE99-EE2F-47D4-AC21-6B7068BFFF38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5926234C-1D6C-4B76-B34C-E4466971BFF8}" type="sibTrans" cxnId="{2D57DE99-EE2F-47D4-AC21-6B7068BFFF38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BB291329-A8C0-4751-9D63-44368FAE39CB}">
      <dgm:prSet phldrT="" custT="1"/>
      <dgm:spPr bwMode="auto"/>
      <dgm:t>
        <a:bodyPr/>
        <a:lstStyle/>
        <a:p>
          <a:pPr>
            <a:defRPr/>
          </a:pPr>
          <a:r>
            <a:rPr lang="ru-RU" sz="1200">
              <a:latin typeface="Arial Narrow"/>
            </a:rPr>
            <a:t>Сбор и анализ данных</a:t>
          </a:r>
          <a:endParaRPr/>
        </a:p>
      </dgm:t>
    </dgm:pt>
    <dgm:pt modelId="{4AF66DB9-AEC1-46AB-8A50-8FE33B337487}" type="parTrans" cxnId="{240C0071-63CA-4E51-9996-8A1C3681B433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BAE7F410-5A17-4D47-BA58-02BB5DEC24EF}" type="sibTrans" cxnId="{240C0071-63CA-4E51-9996-8A1C3681B433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0C979497-C3A5-4E7D-88C6-DE7B82D884F3}">
      <dgm:prSet phldrT="" custT="1"/>
      <dgm:spPr bwMode="auto"/>
      <dgm:t>
        <a:bodyPr/>
        <a:lstStyle/>
        <a:p>
          <a:pPr>
            <a:defRPr/>
          </a:pPr>
          <a:r>
            <a:rPr lang="ru-RU" sz="1200">
              <a:latin typeface="Arial Narrow"/>
            </a:rPr>
            <a:t>Корректировка планов</a:t>
          </a:r>
          <a:endParaRPr/>
        </a:p>
      </dgm:t>
    </dgm:pt>
    <dgm:pt modelId="{5BE5C58F-9405-4C1D-A209-3A8D0B4D3AE3}" type="parTrans" cxnId="{C60F1D09-DFA2-4045-A693-D54A335A28DE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A3D425E7-55D4-48BA-A4A4-E6849E405FE9}" type="sibTrans" cxnId="{C60F1D09-DFA2-4045-A693-D54A335A28DE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56D6F134-4505-4FEA-AAE6-98CF36C4E80C}" type="pres">
      <dgm:prSet presAssocID="{7BDA1E39-B130-4696-A4AD-406D940CC80B}" presName="linearFlow" presStyleCnt="0">
        <dgm:presLayoutVars>
          <dgm:dir val="norm"/>
          <dgm:animLvl val="lvl"/>
          <dgm:resizeHandles val="exact"/>
        </dgm:presLayoutVars>
      </dgm:prSet>
      <dgm:spPr bwMode="auto"/>
    </dgm:pt>
    <dgm:pt modelId="{E9B0AB94-247D-4EBD-9786-7C9DA734B433}" type="pres">
      <dgm:prSet presAssocID="{144FAF29-B2A8-4C58-952A-CCA93545CB32}" presName="composite" presStyleCnt="0"/>
      <dgm:spPr bwMode="auto"/>
    </dgm:pt>
    <dgm:pt modelId="{4E4D9429-1068-457B-A384-B5819689184F}" type="pres">
      <dgm:prSet presAssocID="{144FAF29-B2A8-4C58-952A-CCA93545CB32}" presName="parentText" presStyleLbl="alignNode1" presStyleIdx="0" presStyleCnt="4">
        <dgm:presLayoutVars>
          <dgm:chMax val="1"/>
          <dgm:bulletEnabled val="1"/>
        </dgm:presLayoutVars>
      </dgm:prSet>
      <dgm:spPr bwMode="auto"/>
    </dgm:pt>
    <dgm:pt modelId="{760B032F-57F5-4652-9309-9001E13A8160}" type="pres">
      <dgm:prSet presAssocID="{144FAF29-B2A8-4C58-952A-CCA93545CB32}" presName="descendantText" presStyleLbl="alignAcc1" presStyleIdx="0" presStyleCnt="4">
        <dgm:presLayoutVars>
          <dgm:bulletEnabled val="1"/>
        </dgm:presLayoutVars>
      </dgm:prSet>
      <dgm:spPr bwMode="auto"/>
    </dgm:pt>
    <dgm:pt modelId="{64A0D251-3D7D-4E30-8B17-1A9D44541E7E}" type="pres">
      <dgm:prSet presAssocID="{C9A50E17-85AB-47EB-8A2F-58B7460CA06F}" presName="sp" presStyleCnt="0"/>
      <dgm:spPr bwMode="auto"/>
    </dgm:pt>
    <dgm:pt modelId="{F4A31A41-1ED7-4FC4-9F89-F39DEA73892B}" type="pres">
      <dgm:prSet presAssocID="{356B1ECE-1111-4F4B-AFB1-C899399BE828}" presName="composite" presStyleCnt="0"/>
      <dgm:spPr bwMode="auto"/>
    </dgm:pt>
    <dgm:pt modelId="{62F03A82-8DCF-45C9-8140-1CF7E7BF33AD}" type="pres">
      <dgm:prSet presAssocID="{356B1ECE-1111-4F4B-AFB1-C899399BE828}" presName="parentText" presStyleLbl="alignNode1" presStyleIdx="1" presStyleCnt="4">
        <dgm:presLayoutVars>
          <dgm:chMax val="1"/>
          <dgm:bulletEnabled val="1"/>
        </dgm:presLayoutVars>
      </dgm:prSet>
      <dgm:spPr bwMode="auto"/>
    </dgm:pt>
    <dgm:pt modelId="{429DD8B4-E7EF-485E-BD0D-D4A2BDF12AA2}" type="pres">
      <dgm:prSet presAssocID="{356B1ECE-1111-4F4B-AFB1-C899399BE828}" presName="descendantText" presStyleLbl="alignAcc1" presStyleIdx="1" presStyleCnt="4">
        <dgm:presLayoutVars>
          <dgm:bulletEnabled val="1"/>
        </dgm:presLayoutVars>
      </dgm:prSet>
      <dgm:spPr bwMode="auto"/>
    </dgm:pt>
    <dgm:pt modelId="{254EB319-B110-4A54-9EAC-83809ADBCD4D}" type="pres">
      <dgm:prSet presAssocID="{35ECD6BE-AB2B-4170-95B1-52EA2A977383}" presName="sp" presStyleCnt="0"/>
      <dgm:spPr bwMode="auto"/>
    </dgm:pt>
    <dgm:pt modelId="{D21F745B-5CED-4447-91EF-BF1291DE4BB0}" type="pres">
      <dgm:prSet presAssocID="{0E185559-FAC0-40C7-831D-854E340EEA5D}" presName="composite" presStyleCnt="0"/>
      <dgm:spPr bwMode="auto"/>
    </dgm:pt>
    <dgm:pt modelId="{072DA36A-D615-4A00-BA98-7631D6128E1E}" type="pres">
      <dgm:prSet presAssocID="{0E185559-FAC0-40C7-831D-854E340EEA5D}" presName="parentText" presStyleLbl="alignNode1" presStyleIdx="2" presStyleCnt="4">
        <dgm:presLayoutVars>
          <dgm:chMax val="1"/>
          <dgm:bulletEnabled val="1"/>
        </dgm:presLayoutVars>
      </dgm:prSet>
      <dgm:spPr bwMode="auto"/>
    </dgm:pt>
    <dgm:pt modelId="{E6F4674A-FE4C-46DF-AC9A-D18A174047A0}" type="pres">
      <dgm:prSet presAssocID="{0E185559-FAC0-40C7-831D-854E340EEA5D}" presName="descendantText" presStyleLbl="alignAcc1" presStyleIdx="2" presStyleCnt="4">
        <dgm:presLayoutVars>
          <dgm:bulletEnabled val="1"/>
        </dgm:presLayoutVars>
      </dgm:prSet>
      <dgm:spPr bwMode="auto"/>
    </dgm:pt>
    <dgm:pt modelId="{B873775C-2116-44E1-B9CB-A6C275011ADF}" type="pres">
      <dgm:prSet presAssocID="{33B27EFF-D31B-4F82-B082-6FAE5C6D9B92}" presName="sp" presStyleCnt="0"/>
      <dgm:spPr bwMode="auto"/>
    </dgm:pt>
    <dgm:pt modelId="{C6F7F5B0-840D-4E19-B45A-818129AAD404}" type="pres">
      <dgm:prSet presAssocID="{6445C1DA-B3BB-43D5-AEDA-8B0E12C3A9FB}" presName="composite" presStyleCnt="0"/>
      <dgm:spPr bwMode="auto"/>
    </dgm:pt>
    <dgm:pt modelId="{68771100-CC7A-484B-8BF0-73A912114DD3}" type="pres">
      <dgm:prSet presAssocID="{6445C1DA-B3BB-43D5-AEDA-8B0E12C3A9FB}" presName="parentText" presStyleLbl="alignNode1" presStyleIdx="3" presStyleCnt="4">
        <dgm:presLayoutVars>
          <dgm:chMax val="1"/>
          <dgm:bulletEnabled val="1"/>
        </dgm:presLayoutVars>
      </dgm:prSet>
      <dgm:spPr bwMode="auto"/>
    </dgm:pt>
    <dgm:pt modelId="{48BE0FE4-770E-46F6-8313-6918C556DB8F}" type="pres">
      <dgm:prSet presAssocID="{6445C1DA-B3BB-43D5-AEDA-8B0E12C3A9FB}" presName="descendantText" presStyleLbl="alignAcc1" presStyleIdx="3" presStyleCnt="4">
        <dgm:presLayoutVars>
          <dgm:bulletEnabled val="1"/>
        </dgm:presLayoutVars>
      </dgm:prSet>
      <dgm:spPr bwMode="auto"/>
    </dgm:pt>
  </dgm:ptLst>
  <dgm:cxnLst>
    <dgm:cxn modelId="{212F8305-A93F-4A80-9D3A-E861F656D56D}" srcId="{144FAF29-B2A8-4C58-952A-CCA93545CB32}" destId="{6E253C7A-3BD7-43F8-8C94-B13667A96597}" srcOrd="1" destOrd="0" parTransId="{E11E9494-A157-4EB8-9436-65D1DF640B23}" sibTransId="{21CD1422-2182-4B59-A52F-34B24B1B2290}"/>
    <dgm:cxn modelId="{C60F1D09-DFA2-4045-A693-D54A335A28DE}" srcId="{6445C1DA-B3BB-43D5-AEDA-8B0E12C3A9FB}" destId="{0C979497-C3A5-4E7D-88C6-DE7B82D884F3}" srcOrd="2" destOrd="0" parTransId="{5BE5C58F-9405-4C1D-A209-3A8D0B4D3AE3}" sibTransId="{A3D425E7-55D4-48BA-A4A4-E6849E405FE9}"/>
    <dgm:cxn modelId="{C8D96A0B-DA09-4EDE-AE39-5524058A7B25}" type="presOf" srcId="{A1369A55-490D-41C2-96E4-22819462D038}" destId="{760B032F-57F5-4652-9309-9001E13A8160}" srcOrd="0" destOrd="0" presId="urn:microsoft.com/office/officeart/2005/8/layout/chevron2"/>
    <dgm:cxn modelId="{E4951E18-6CCE-43C9-B646-F3128807ED87}" type="presOf" srcId="{AFBB16A3-91E7-41B7-80F0-6F41DD5D3514}" destId="{E6F4674A-FE4C-46DF-AC9A-D18A174047A0}" srcOrd="0" destOrd="1" presId="urn:microsoft.com/office/officeart/2005/8/layout/chevron2"/>
    <dgm:cxn modelId="{36C74019-9986-4F74-88E4-DB82EB8112AC}" type="presOf" srcId="{0A8BD1F6-9191-40D8-AE90-44CA8CB20F6F}" destId="{E6F4674A-FE4C-46DF-AC9A-D18A174047A0}" srcOrd="0" destOrd="2" presId="urn:microsoft.com/office/officeart/2005/8/layout/chevron2"/>
    <dgm:cxn modelId="{0B997E1B-2672-40D3-A27B-64438E225F76}" type="presOf" srcId="{144FAF29-B2A8-4C58-952A-CCA93545CB32}" destId="{4E4D9429-1068-457B-A384-B5819689184F}" srcOrd="0" destOrd="0" presId="urn:microsoft.com/office/officeart/2005/8/layout/chevron2"/>
    <dgm:cxn modelId="{A2E4541F-98E7-4E07-9FC6-2B692C60BACB}" type="presOf" srcId="{356B1ECE-1111-4F4B-AFB1-C899399BE828}" destId="{62F03A82-8DCF-45C9-8140-1CF7E7BF33AD}" srcOrd="0" destOrd="0" presId="urn:microsoft.com/office/officeart/2005/8/layout/chevron2"/>
    <dgm:cxn modelId="{5A6F3A35-34EE-442B-B7F1-3DB201208228}" type="presOf" srcId="{BB291329-A8C0-4751-9D63-44368FAE39CB}" destId="{48BE0FE4-770E-46F6-8313-6918C556DB8F}" srcOrd="0" destOrd="1" presId="urn:microsoft.com/office/officeart/2005/8/layout/chevron2"/>
    <dgm:cxn modelId="{6B319339-C082-407F-820B-67317679BFD0}" srcId="{7BDA1E39-B130-4696-A4AD-406D940CC80B}" destId="{6445C1DA-B3BB-43D5-AEDA-8B0E12C3A9FB}" srcOrd="3" destOrd="0" parTransId="{CAEE1565-C09E-4D3D-807D-21F1405C2E80}" sibTransId="{A69DAB12-6397-4A31-89BA-8B34DDE7F8EA}"/>
    <dgm:cxn modelId="{8F38963B-963B-417C-98B2-361F0CF3ED58}" srcId="{0E185559-FAC0-40C7-831D-854E340EEA5D}" destId="{EDF0F482-A320-4832-BB0B-7589916CC46F}" srcOrd="0" destOrd="0" parTransId="{845D7AA0-1CF8-4B28-9F0B-5C9C697EADC6}" sibTransId="{9EF8C9AA-9877-4B62-AF59-ECD6ADA76608}"/>
    <dgm:cxn modelId="{622EA447-6962-4B61-B465-55AC40315208}" type="presOf" srcId="{6445C1DA-B3BB-43D5-AEDA-8B0E12C3A9FB}" destId="{68771100-CC7A-484B-8BF0-73A912114DD3}" srcOrd="0" destOrd="0" presId="urn:microsoft.com/office/officeart/2005/8/layout/chevron2"/>
    <dgm:cxn modelId="{88A08350-5EC5-4497-871F-E6BDFD30A0BB}" type="presOf" srcId="{25F0A5EC-72FC-4EAF-AA6A-62D0CDB2597E}" destId="{429DD8B4-E7EF-485E-BD0D-D4A2BDF12AA2}" srcOrd="0" destOrd="0" presId="urn:microsoft.com/office/officeart/2005/8/layout/chevron2"/>
    <dgm:cxn modelId="{F528665C-2EF7-42FA-BB56-5C9468AB8193}" srcId="{7BDA1E39-B130-4696-A4AD-406D940CC80B}" destId="{144FAF29-B2A8-4C58-952A-CCA93545CB32}" srcOrd="0" destOrd="0" parTransId="{C6F5381F-C309-42F0-B23B-7D4CA062E3DA}" sibTransId="{C9A50E17-85AB-47EB-8A2F-58B7460CA06F}"/>
    <dgm:cxn modelId="{240C0071-63CA-4E51-9996-8A1C3681B433}" srcId="{6445C1DA-B3BB-43D5-AEDA-8B0E12C3A9FB}" destId="{BB291329-A8C0-4751-9D63-44368FAE39CB}" srcOrd="1" destOrd="0" parTransId="{4AF66DB9-AEC1-46AB-8A50-8FE33B337487}" sibTransId="{BAE7F410-5A17-4D47-BA58-02BB5DEC24EF}"/>
    <dgm:cxn modelId="{DB791077-BFCE-4A32-A53B-380113012B30}" srcId="{7BDA1E39-B130-4696-A4AD-406D940CC80B}" destId="{0E185559-FAC0-40C7-831D-854E340EEA5D}" srcOrd="2" destOrd="0" parTransId="{BF6D1096-985E-41B9-9E10-2D3E20C8CF69}" sibTransId="{33B27EFF-D31B-4F82-B082-6FAE5C6D9B92}"/>
    <dgm:cxn modelId="{C6A66096-91F3-4E2C-AE34-70B31EE1DC20}" type="presOf" srcId="{6E253C7A-3BD7-43F8-8C94-B13667A96597}" destId="{760B032F-57F5-4652-9309-9001E13A8160}" srcOrd="0" destOrd="1" presId="urn:microsoft.com/office/officeart/2005/8/layout/chevron2"/>
    <dgm:cxn modelId="{2D57DE99-EE2F-47D4-AC21-6B7068BFFF38}" srcId="{6445C1DA-B3BB-43D5-AEDA-8B0E12C3A9FB}" destId="{7CE6FD2F-9107-4FE6-96A4-FC2EA0986081}" srcOrd="0" destOrd="0" parTransId="{9376F9A8-D6EF-4613-93DF-D39A09557D52}" sibTransId="{5926234C-1D6C-4B76-B34C-E4466971BFF8}"/>
    <dgm:cxn modelId="{C3BBE49B-B1EC-4CBB-A5AA-A82BDE9FADE1}" srcId="{0E185559-FAC0-40C7-831D-854E340EEA5D}" destId="{0A8BD1F6-9191-40D8-AE90-44CA8CB20F6F}" srcOrd="2" destOrd="0" parTransId="{0EF750A7-F6EC-4A2F-9BB7-753AAED57A24}" sibTransId="{115C4F33-17D4-49B1-9F79-4D2C0A4BBC9C}"/>
    <dgm:cxn modelId="{F6A0A3A1-1CDF-49F5-9449-17120190A573}" type="presOf" srcId="{0E185559-FAC0-40C7-831D-854E340EEA5D}" destId="{072DA36A-D615-4A00-BA98-7631D6128E1E}" srcOrd="0" destOrd="0" presId="urn:microsoft.com/office/officeart/2005/8/layout/chevron2"/>
    <dgm:cxn modelId="{4610FEB7-385B-454D-9161-376D05793230}" type="presOf" srcId="{0C979497-C3A5-4E7D-88C6-DE7B82D884F3}" destId="{48BE0FE4-770E-46F6-8313-6918C556DB8F}" srcOrd="0" destOrd="2" presId="urn:microsoft.com/office/officeart/2005/8/layout/chevron2"/>
    <dgm:cxn modelId="{49811EBD-02C6-4A5E-99F5-331583CFB7C9}" srcId="{356B1ECE-1111-4F4B-AFB1-C899399BE828}" destId="{25F0A5EC-72FC-4EAF-AA6A-62D0CDB2597E}" srcOrd="0" destOrd="0" parTransId="{2A23166C-00C4-40FA-9589-1EEE370CB3AA}" sibTransId="{6CA3F2EA-AA6B-41EE-B775-35D1438879EE}"/>
    <dgm:cxn modelId="{1F3A24BF-7B2D-40FE-A44B-001E4AC29BB5}" type="presOf" srcId="{7BDA1E39-B130-4696-A4AD-406D940CC80B}" destId="{56D6F134-4505-4FEA-AAE6-98CF36C4E80C}" srcOrd="0" destOrd="0" presId="urn:microsoft.com/office/officeart/2005/8/layout/chevron2"/>
    <dgm:cxn modelId="{4BDEFAD2-6417-49DE-B20F-64D320A37005}" srcId="{7BDA1E39-B130-4696-A4AD-406D940CC80B}" destId="{356B1ECE-1111-4F4B-AFB1-C899399BE828}" srcOrd="1" destOrd="0" parTransId="{7DD10036-5FA8-4DE8-9AE6-7B4F3CDB85AF}" sibTransId="{35ECD6BE-AB2B-4170-95B1-52EA2A977383}"/>
    <dgm:cxn modelId="{57DEC6DB-BCEE-4C1B-8B99-42D0F842AE7F}" srcId="{144FAF29-B2A8-4C58-952A-CCA93545CB32}" destId="{A1369A55-490D-41C2-96E4-22819462D038}" srcOrd="0" destOrd="0" parTransId="{78F4D573-2CDA-4171-9328-B4FE4B0A680F}" sibTransId="{A2AA0417-5519-4EEF-8400-1AB3423BAFD6}"/>
    <dgm:cxn modelId="{6D8F7FE0-69FB-4FAA-B62E-1BCAFCB78A05}" type="presOf" srcId="{8E22C3C8-6C14-4E28-A443-C3BEB3E51B89}" destId="{760B032F-57F5-4652-9309-9001E13A8160}" srcOrd="0" destOrd="2" presId="urn:microsoft.com/office/officeart/2005/8/layout/chevron2"/>
    <dgm:cxn modelId="{773C26E8-A798-4EA9-B79D-7FDB742A8805}" srcId="{144FAF29-B2A8-4C58-952A-CCA93545CB32}" destId="{8E22C3C8-6C14-4E28-A443-C3BEB3E51B89}" srcOrd="2" destOrd="0" parTransId="{5F82D7FE-1213-4D95-8FE0-15454E06A06F}" sibTransId="{C10C4FB9-44BD-46F3-AEF7-AB6632B1846A}"/>
    <dgm:cxn modelId="{481F00EF-2578-4834-A6CD-B6E9FAEB669F}" srcId="{0E185559-FAC0-40C7-831D-854E340EEA5D}" destId="{AFBB16A3-91E7-41B7-80F0-6F41DD5D3514}" srcOrd="1" destOrd="0" parTransId="{544CD6BB-EBB8-48EF-BCE6-AEB540DC7B3E}" sibTransId="{E3005987-2F31-4445-8D1A-8BF0F39AAA22}"/>
    <dgm:cxn modelId="{A31475F0-015A-4C9C-84D0-FE8E5F3CF31C}" type="presOf" srcId="{EDF0F482-A320-4832-BB0B-7589916CC46F}" destId="{E6F4674A-FE4C-46DF-AC9A-D18A174047A0}" srcOrd="0" destOrd="0" presId="urn:microsoft.com/office/officeart/2005/8/layout/chevron2"/>
    <dgm:cxn modelId="{CDDBF2F9-03A3-426F-8E15-2ABEF64B16D8}" type="presOf" srcId="{7CE6FD2F-9107-4FE6-96A4-FC2EA0986081}" destId="{48BE0FE4-770E-46F6-8313-6918C556DB8F}" srcOrd="0" destOrd="0" presId="urn:microsoft.com/office/officeart/2005/8/layout/chevron2"/>
    <dgm:cxn modelId="{413BFC6B-0D26-4588-A1F4-A0B7FE0211CA}" type="presParOf" srcId="{56D6F134-4505-4FEA-AAE6-98CF36C4E80C}" destId="{E9B0AB94-247D-4EBD-9786-7C9DA734B433}" srcOrd="0" destOrd="0" presId="urn:microsoft.com/office/officeart/2005/8/layout/chevron2"/>
    <dgm:cxn modelId="{E5AACB6A-2B57-45CE-AB22-A4CE6483F161}" type="presParOf" srcId="{E9B0AB94-247D-4EBD-9786-7C9DA734B433}" destId="{4E4D9429-1068-457B-A384-B5819689184F}" srcOrd="0" destOrd="0" presId="urn:microsoft.com/office/officeart/2005/8/layout/chevron2"/>
    <dgm:cxn modelId="{470CE146-4474-431A-8DA0-F0E8A8FDA586}" type="presParOf" srcId="{E9B0AB94-247D-4EBD-9786-7C9DA734B433}" destId="{760B032F-57F5-4652-9309-9001E13A8160}" srcOrd="1" destOrd="0" presId="urn:microsoft.com/office/officeart/2005/8/layout/chevron2"/>
    <dgm:cxn modelId="{DD59AAC7-0508-4B97-BAF4-3C3022B4F19C}" type="presParOf" srcId="{56D6F134-4505-4FEA-AAE6-98CF36C4E80C}" destId="{64A0D251-3D7D-4E30-8B17-1A9D44541E7E}" srcOrd="1" destOrd="0" presId="urn:microsoft.com/office/officeart/2005/8/layout/chevron2"/>
    <dgm:cxn modelId="{963DC780-BB74-412F-B148-E9D3244E8340}" type="presParOf" srcId="{56D6F134-4505-4FEA-AAE6-98CF36C4E80C}" destId="{F4A31A41-1ED7-4FC4-9F89-F39DEA73892B}" srcOrd="2" destOrd="0" presId="urn:microsoft.com/office/officeart/2005/8/layout/chevron2"/>
    <dgm:cxn modelId="{07D1457E-C1DD-445F-AC62-DBCF6EF59D04}" type="presParOf" srcId="{F4A31A41-1ED7-4FC4-9F89-F39DEA73892B}" destId="{62F03A82-8DCF-45C9-8140-1CF7E7BF33AD}" srcOrd="0" destOrd="0" presId="urn:microsoft.com/office/officeart/2005/8/layout/chevron2"/>
    <dgm:cxn modelId="{018FDB87-EE40-4305-BDC7-6A69EE820009}" type="presParOf" srcId="{F4A31A41-1ED7-4FC4-9F89-F39DEA73892B}" destId="{429DD8B4-E7EF-485E-BD0D-D4A2BDF12AA2}" srcOrd="1" destOrd="0" presId="urn:microsoft.com/office/officeart/2005/8/layout/chevron2"/>
    <dgm:cxn modelId="{BF8189ED-C8A2-487D-A17F-D7A106D8605C}" type="presParOf" srcId="{56D6F134-4505-4FEA-AAE6-98CF36C4E80C}" destId="{254EB319-B110-4A54-9EAC-83809ADBCD4D}" srcOrd="3" destOrd="0" presId="urn:microsoft.com/office/officeart/2005/8/layout/chevron2"/>
    <dgm:cxn modelId="{D0890C02-F01B-4635-AB34-8232690FB204}" type="presParOf" srcId="{56D6F134-4505-4FEA-AAE6-98CF36C4E80C}" destId="{D21F745B-5CED-4447-91EF-BF1291DE4BB0}" srcOrd="4" destOrd="0" presId="urn:microsoft.com/office/officeart/2005/8/layout/chevron2"/>
    <dgm:cxn modelId="{40708E0D-38C4-4B97-8ECA-C77579FEB111}" type="presParOf" srcId="{D21F745B-5CED-4447-91EF-BF1291DE4BB0}" destId="{072DA36A-D615-4A00-BA98-7631D6128E1E}" srcOrd="0" destOrd="0" presId="urn:microsoft.com/office/officeart/2005/8/layout/chevron2"/>
    <dgm:cxn modelId="{6E5D26E7-8BD6-46EC-A9A1-BAC22F796290}" type="presParOf" srcId="{D21F745B-5CED-4447-91EF-BF1291DE4BB0}" destId="{E6F4674A-FE4C-46DF-AC9A-D18A174047A0}" srcOrd="1" destOrd="0" presId="urn:microsoft.com/office/officeart/2005/8/layout/chevron2"/>
    <dgm:cxn modelId="{7D3C1E42-5EA1-4B86-8ED5-D02872DFAC59}" type="presParOf" srcId="{56D6F134-4505-4FEA-AAE6-98CF36C4E80C}" destId="{B873775C-2116-44E1-B9CB-A6C275011ADF}" srcOrd="5" destOrd="0" presId="urn:microsoft.com/office/officeart/2005/8/layout/chevron2"/>
    <dgm:cxn modelId="{30C85FD6-738B-4033-B975-4507C23036B9}" type="presParOf" srcId="{56D6F134-4505-4FEA-AAE6-98CF36C4E80C}" destId="{C6F7F5B0-840D-4E19-B45A-818129AAD404}" srcOrd="6" destOrd="0" presId="urn:microsoft.com/office/officeart/2005/8/layout/chevron2"/>
    <dgm:cxn modelId="{E8BDD6B3-0096-4303-8219-56844BE254D8}" type="presParOf" srcId="{C6F7F5B0-840D-4E19-B45A-818129AAD404}" destId="{68771100-CC7A-484B-8BF0-73A912114DD3}" srcOrd="0" destOrd="0" presId="urn:microsoft.com/office/officeart/2005/8/layout/chevron2"/>
    <dgm:cxn modelId="{F05FE138-1DC6-41E0-B4B7-F85B0ABB25A3}" type="presParOf" srcId="{C6F7F5B0-840D-4E19-B45A-818129AAD404}" destId="{48BE0FE4-770E-46F6-8313-6918C556DB8F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 xmlns:r="http://schemas.openxmlformats.org/officeDocument/2006/relationships">
  <dgm:ptLst>
    <dgm:pt modelId="{F96C8405-9BD4-4E24-A2EA-7697FEC79E13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 bwMode="auto"/>
      <dgm:t>
        <a:bodyPr/>
        <a:lstStyle/>
        <a:p>
          <a:pPr>
            <a:defRPr/>
          </a:pPr>
          <a:endParaRPr lang="ru-RU"/>
        </a:p>
      </dgm:t>
    </dgm:pt>
    <dgm:pt modelId="{656EFA2C-1D4D-4CD2-A02F-5BEC6D27FD33}">
      <dgm:prSet phldrT="[Текст]" custT="1"/>
      <dgm:spPr bwMode="auto"/>
      <dgm:t>
        <a:bodyPr/>
        <a:lstStyle/>
        <a:p>
          <a:pPr>
            <a:defRPr/>
          </a:pPr>
          <a:r>
            <a:rPr lang="ru-RU" sz="1200" b="1">
              <a:latin typeface="Arial Narrow"/>
            </a:rPr>
            <a:t>ФИНАНСОВАЯ СТРАТЕГИЯ</a:t>
          </a:r>
          <a:endParaRPr/>
        </a:p>
      </dgm:t>
    </dgm:pt>
    <dgm:pt modelId="{C6643699-6F28-41A8-9C66-99E4B5BE8019}" type="parTrans" cxnId="{E4D535AF-5903-49C6-A362-20D419314C08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BE0CE9D1-007F-42FC-9D16-B6AE1B4FD7A1}" type="sibTrans" cxnId="{E4D535AF-5903-49C6-A362-20D419314C08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FE6F770E-B245-4480-8206-370EE902A8F9}">
      <dgm:prSet phldrT="[Текст]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Бюджетные фонды (гос.органы)</a:t>
          </a:r>
          <a:endParaRPr/>
        </a:p>
      </dgm:t>
    </dgm:pt>
    <dgm:pt modelId="{BF0C0B5B-5E8F-4242-93E4-6A2F9554A232}" type="parTrans" cxnId="{D908588C-B288-4A85-B4AC-8B06E865B895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46884FAB-B652-4C14-9371-88303B4FC569}" type="sibTrans" cxnId="{D908588C-B288-4A85-B4AC-8B06E865B895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C1D458E5-7AAA-4F8B-A515-506C89F4D159}">
      <dgm:prSet phldrT="[Текст]" custT="1"/>
      <dgm:spPr bwMode="auto"/>
      <dgm:t>
        <a:bodyPr/>
        <a:lstStyle/>
        <a:p>
          <a:pPr>
            <a:defRPr/>
          </a:pPr>
          <a:r>
            <a:rPr lang="ru-RU" sz="1200" b="1">
              <a:latin typeface="Arial Narrow"/>
            </a:rPr>
            <a:t>БЮДЖЕТИРОВАНИЕ</a:t>
          </a:r>
          <a:endParaRPr/>
        </a:p>
      </dgm:t>
    </dgm:pt>
    <dgm:pt modelId="{36037C3A-D2B2-4A46-B083-9EC69859C9B7}" type="parTrans" cxnId="{34BEE991-46E1-4669-A75D-68DE495994A3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D4B7ED1D-C9FB-40B5-BC85-16AD0CD2CC55}" type="sibTrans" cxnId="{34BEE991-46E1-4669-A75D-68DE495994A3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8A7DFCCB-50E3-44EA-AC85-5176FF2775FD}">
      <dgm:prSet phldrT="[Текст]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Бюджет доходов</a:t>
          </a:r>
          <a:endParaRPr/>
        </a:p>
      </dgm:t>
    </dgm:pt>
    <dgm:pt modelId="{86625EE9-D54C-4CFD-80FB-697CE7C350F2}" type="parTrans" cxnId="{C9B05F85-5E6D-4EA4-AAE0-88D156717194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D28EE362-428C-48BD-BF20-7592EFC62404}" type="sibTrans" cxnId="{C9B05F85-5E6D-4EA4-AAE0-88D156717194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2E71A8CC-1DDE-413F-9088-E51AA9E5C591}">
      <dgm:prSet phldrT="[Текст]" custT="1"/>
      <dgm:spPr bwMode="auto"/>
      <dgm:t>
        <a:bodyPr/>
        <a:lstStyle/>
        <a:p>
          <a:pPr>
            <a:defRPr/>
          </a:pPr>
          <a:r>
            <a:rPr lang="ru-RU" sz="1200" b="1">
              <a:latin typeface="Arial Narrow"/>
            </a:rPr>
            <a:t>ОТЧЕТНОСТЬ</a:t>
          </a:r>
          <a:endParaRPr/>
        </a:p>
      </dgm:t>
    </dgm:pt>
    <dgm:pt modelId="{AF3EF2C4-435E-433C-A515-0E2DCB8AF080}" type="parTrans" cxnId="{A00BA7C5-194E-4B37-844B-C83EFF7C9138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345C1553-E29B-438B-B03F-5470FE73C7FE}" type="sibTrans" cxnId="{A00BA7C5-194E-4B37-844B-C83EFF7C9138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0C067409-4632-4741-838F-CCF4A436085E}">
      <dgm:prSet phldrT="[Текст]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Отчетность</a:t>
          </a:r>
          <a:endParaRPr/>
        </a:p>
      </dgm:t>
    </dgm:pt>
    <dgm:pt modelId="{F2E9A55C-CBF9-42BC-9C16-FAFE0AAAB0D0}" type="parTrans" cxnId="{CD4D9FCD-DD45-43B5-82D9-28B325A51E8B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C917DB95-7356-4EE4-AC99-EF01CB37E5FA}" type="sibTrans" cxnId="{CD4D9FCD-DD45-43B5-82D9-28B325A51E8B}">
      <dgm:prSet/>
      <dgm:spPr bwMode="auto"/>
      <dgm:t>
        <a:bodyPr/>
        <a:lstStyle/>
        <a:p>
          <a:pPr>
            <a:defRPr/>
          </a:pPr>
          <a:endParaRPr lang="ru-RU" sz="1200">
            <a:latin typeface="Arial Narrow"/>
          </a:endParaRPr>
        </a:p>
      </dgm:t>
    </dgm:pt>
    <dgm:pt modelId="{A2B1663E-111A-47F3-A6C6-C3FA1B10A772}">
      <dgm:prSet phldrT="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Внебюджетные фонды (спонсоры)</a:t>
          </a:r>
          <a:endParaRPr/>
        </a:p>
      </dgm:t>
    </dgm:pt>
    <dgm:pt modelId="{67126B06-F086-4C0F-A0F8-534F3AF58850}" type="parTrans" cxnId="{F18D365B-9EAB-4E9B-9666-683EE25976C1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1BF9A2E2-6299-4AE3-A045-4B68D2515AFB}" type="sibTrans" cxnId="{F18D365B-9EAB-4E9B-9666-683EE25976C1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36581023-3B22-4470-B003-6DD65532F49C}">
      <dgm:prSet phldrT="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Гранты</a:t>
          </a:r>
          <a:endParaRPr/>
        </a:p>
      </dgm:t>
    </dgm:pt>
    <dgm:pt modelId="{3188AC4F-BA87-46E7-9848-2A9B6D80E2CD}" type="parTrans" cxnId="{4B3A89ED-1E9A-43E8-BF38-204AB5CE56D6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00D6F277-0943-4AAF-9DB6-ED30F66A11A0}" type="sibTrans" cxnId="{4B3A89ED-1E9A-43E8-BF38-204AB5CE56D6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91066396-57B5-405E-9424-67778BAA45A6}">
      <dgm:prSet phldrT="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Членские взносы</a:t>
          </a:r>
          <a:endParaRPr/>
        </a:p>
      </dgm:t>
    </dgm:pt>
    <dgm:pt modelId="{7FBEBA74-583C-45D9-BBF5-6745E411629A}" type="parTrans" cxnId="{CFCDDA0A-4C69-4081-818D-3CAE04AB28A9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69CC4A8B-6DE4-4633-AA0E-4DDC1E55152A}" type="sibTrans" cxnId="{CFCDDA0A-4C69-4081-818D-3CAE04AB28A9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29FEC318-B5A9-477D-9550-FF8B12B0C4FD}">
      <dgm:prSet phldrT="[Текст]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бюджет расходов</a:t>
          </a:r>
          <a:endParaRPr/>
        </a:p>
      </dgm:t>
    </dgm:pt>
    <dgm:pt modelId="{62336824-63D9-4F96-A12C-0CFCDD405FE6}" type="parTrans" cxnId="{2501E518-CF1B-4303-A450-7589C9A0CA36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F9DE956F-10D1-45B3-9B5C-758911302317}" type="sibTrans" cxnId="{2501E518-CF1B-4303-A450-7589C9A0CA36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F931683A-AC08-402A-B488-2504662D7138}">
      <dgm:prSet phldrT="[Текст]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Бюджет развития</a:t>
          </a:r>
          <a:endParaRPr/>
        </a:p>
      </dgm:t>
    </dgm:pt>
    <dgm:pt modelId="{3A27857E-3AEB-4442-AA20-7C97E0762C14}" type="parTrans" cxnId="{32F21D50-64FF-4522-A883-B2052A8F5FAD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5BD37DC2-B74D-4FE1-9F8D-894045952155}" type="sibTrans" cxnId="{32F21D50-64FF-4522-A883-B2052A8F5FAD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91A82D7B-91F9-4572-8304-71F3E170A7BC}">
      <dgm:prSet phldrT="[Текст]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Прозрачность</a:t>
          </a:r>
          <a:endParaRPr/>
        </a:p>
      </dgm:t>
    </dgm:pt>
    <dgm:pt modelId="{339F18E9-173A-487F-9E3C-C7515AC062B5}" type="parTrans" cxnId="{C8EEFE2D-7B5F-4273-B7C8-EDE69E87D966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833BFD48-21F1-4A04-A07E-3FB5AD972EEA}" type="sibTrans" cxnId="{C8EEFE2D-7B5F-4273-B7C8-EDE69E87D966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148CB028-36BE-4742-9035-3170611BA469}">
      <dgm:prSet phldrT="[Текст]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Вовлечение интересантов</a:t>
          </a:r>
          <a:endParaRPr/>
        </a:p>
      </dgm:t>
    </dgm:pt>
    <dgm:pt modelId="{81541074-768C-4923-9E77-35EBAD218D24}" type="parTrans" cxnId="{62DD7E71-B03C-4500-8ADD-5E7274A178B4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0D706250-8668-45E1-AF6F-5A5E561F9728}" type="sibTrans" cxnId="{62DD7E71-B03C-4500-8ADD-5E7274A178B4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5F5C8E01-4279-44A3-9862-DCFE7F504AF2}">
      <dgm:prSet phldrT="[Текст]" custT="1"/>
      <dgm:spPr bwMode="auto"/>
      <dgm:t>
        <a:bodyPr/>
        <a:lstStyle/>
        <a:p>
          <a:pPr>
            <a:defRPr/>
          </a:pPr>
          <a:r>
            <a:rPr lang="ru-RU" sz="1100">
              <a:latin typeface="Arial Narrow"/>
            </a:rPr>
            <a:t>Мониторинг и контроль  исполнения бюджетов</a:t>
          </a:r>
          <a:endParaRPr/>
        </a:p>
      </dgm:t>
    </dgm:pt>
    <dgm:pt modelId="{257E0283-04D7-4704-A0AA-9498655ED18A}" type="parTrans" cxnId="{0185F4B0-B3B1-45B7-B868-0A7ADC7926EA}">
      <dgm:prSet/>
      <dgm:spPr bwMode="auto"/>
    </dgm:pt>
    <dgm:pt modelId="{0B6E3E7C-8933-4E41-8FE4-2CA8DBF5C316}" type="sibTrans" cxnId="{0185F4B0-B3B1-45B7-B868-0A7ADC7926EA}">
      <dgm:prSet/>
      <dgm:spPr bwMode="auto"/>
    </dgm:pt>
    <dgm:pt modelId="{F09196AB-5337-45E8-98E0-CCFBC284CB1B}" type="pres">
      <dgm:prSet presAssocID="{F96C8405-9BD4-4E24-A2EA-7697FEC79E13}" presName="Name0" presStyleCnt="0">
        <dgm:presLayoutVars>
          <dgm:dir val="norm"/>
          <dgm:animLvl val="lvl"/>
          <dgm:resizeHandles val="exact"/>
        </dgm:presLayoutVars>
      </dgm:prSet>
      <dgm:spPr bwMode="auto"/>
    </dgm:pt>
    <dgm:pt modelId="{9E9056E2-EC89-423E-9935-4F9C4281E73A}" type="pres">
      <dgm:prSet presAssocID="{F96C8405-9BD4-4E24-A2EA-7697FEC79E13}" presName="tSp" presStyleCnt="0"/>
      <dgm:spPr bwMode="auto"/>
    </dgm:pt>
    <dgm:pt modelId="{5C3F9892-C74A-4E53-A814-DAB2C13E6326}" type="pres">
      <dgm:prSet presAssocID="{F96C8405-9BD4-4E24-A2EA-7697FEC79E13}" presName="bSp" presStyleCnt="0"/>
      <dgm:spPr bwMode="auto"/>
    </dgm:pt>
    <dgm:pt modelId="{C1B22A5F-BE2A-48AF-BF6D-C0BC41736159}" type="pres">
      <dgm:prSet presAssocID="{F96C8405-9BD4-4E24-A2EA-7697FEC79E13}" presName="process" presStyleCnt="0"/>
      <dgm:spPr bwMode="auto"/>
    </dgm:pt>
    <dgm:pt modelId="{E4780A28-F3B6-40E5-BB5B-24B94DA0AC95}" type="pres">
      <dgm:prSet presAssocID="{656EFA2C-1D4D-4CD2-A02F-5BEC6D27FD33}" presName="composite1" presStyleCnt="0"/>
      <dgm:spPr bwMode="auto"/>
    </dgm:pt>
    <dgm:pt modelId="{A6AF05C3-DFC2-48A2-830A-74FFA44C392C}" type="pres">
      <dgm:prSet presAssocID="{656EFA2C-1D4D-4CD2-A02F-5BEC6D27FD33}" presName="dummyNode1" presStyleLbl="node1" presStyleIdx="0" presStyleCnt="3"/>
      <dgm:spPr bwMode="auto"/>
    </dgm:pt>
    <dgm:pt modelId="{CF2272AD-E564-42EC-90F3-D98F6629DF4E}" type="pres">
      <dgm:prSet presAssocID="{656EFA2C-1D4D-4CD2-A02F-5BEC6D27FD33}" presName="childNode1" presStyleLbl="bgAcc1" presStyleIdx="0" presStyleCnt="3">
        <dgm:presLayoutVars>
          <dgm:bulletEnabled val="1"/>
        </dgm:presLayoutVars>
      </dgm:prSet>
      <dgm:spPr bwMode="auto"/>
    </dgm:pt>
    <dgm:pt modelId="{93EEF2C6-D0B6-4958-BAA6-27AA4E6D20BE}" type="pres">
      <dgm:prSet presAssocID="{656EFA2C-1D4D-4CD2-A02F-5BEC6D27FD33}" presName="childNode1tx" presStyleLbl="bgAcc1" presStyleIdx="0" presStyleCnt="3">
        <dgm:presLayoutVars>
          <dgm:bulletEnabled val="1"/>
        </dgm:presLayoutVars>
      </dgm:prSet>
      <dgm:spPr bwMode="auto"/>
    </dgm:pt>
    <dgm:pt modelId="{4ABDE095-E82F-43F7-9260-456D3A518897}" type="pres">
      <dgm:prSet presAssocID="{656EFA2C-1D4D-4CD2-A02F-5BEC6D27FD33}" presName="parentNode1" presStyleLbl="node1" presStyleIdx="0" presStyleCnt="3">
        <dgm:presLayoutVars>
          <dgm:chMax val="1"/>
          <dgm:bulletEnabled val="1"/>
        </dgm:presLayoutVars>
      </dgm:prSet>
      <dgm:spPr bwMode="auto"/>
    </dgm:pt>
    <dgm:pt modelId="{52AB4BFF-D2CD-452C-8B7F-F3485F78F895}" type="pres">
      <dgm:prSet presAssocID="{656EFA2C-1D4D-4CD2-A02F-5BEC6D27FD33}" presName="connSite1" presStyleCnt="0"/>
      <dgm:spPr bwMode="auto"/>
    </dgm:pt>
    <dgm:pt modelId="{4D5F7174-1A50-4B8A-81AB-C153AE3BFAA1}" type="pres">
      <dgm:prSet presAssocID="{BE0CE9D1-007F-42FC-9D16-B6AE1B4FD7A1}" presName="Name9" presStyleLbl="sibTrans2D1" presStyleIdx="0" presStyleCnt="2"/>
      <dgm:spPr bwMode="auto"/>
    </dgm:pt>
    <dgm:pt modelId="{988825E1-F57C-4C45-9C52-5D2B85338F3F}" type="pres">
      <dgm:prSet presAssocID="{C1D458E5-7AAA-4F8B-A515-506C89F4D159}" presName="composite2" presStyleCnt="0"/>
      <dgm:spPr bwMode="auto"/>
    </dgm:pt>
    <dgm:pt modelId="{1B34E68B-AD85-443F-80C3-15B42120EFD3}" type="pres">
      <dgm:prSet presAssocID="{C1D458E5-7AAA-4F8B-A515-506C89F4D159}" presName="dummyNode2" presStyleLbl="node1" presStyleIdx="0" presStyleCnt="3"/>
      <dgm:spPr bwMode="auto"/>
    </dgm:pt>
    <dgm:pt modelId="{08EFCF8C-3582-4782-BE5C-CF3DC6F20A4F}" type="pres">
      <dgm:prSet presAssocID="{C1D458E5-7AAA-4F8B-A515-506C89F4D159}" presName="childNode2" presStyleLbl="bgAcc1" presStyleIdx="1" presStyleCnt="3">
        <dgm:presLayoutVars>
          <dgm:bulletEnabled val="1"/>
        </dgm:presLayoutVars>
      </dgm:prSet>
      <dgm:spPr bwMode="auto"/>
    </dgm:pt>
    <dgm:pt modelId="{04D3BE18-57A5-4073-A2B4-08DFCE1E8BEB}" type="pres">
      <dgm:prSet presAssocID="{C1D458E5-7AAA-4F8B-A515-506C89F4D159}" presName="childNode2tx" presStyleLbl="bgAcc1" presStyleIdx="1" presStyleCnt="3">
        <dgm:presLayoutVars>
          <dgm:bulletEnabled val="1"/>
        </dgm:presLayoutVars>
      </dgm:prSet>
      <dgm:spPr bwMode="auto"/>
    </dgm:pt>
    <dgm:pt modelId="{1898D243-BEE4-4A73-B220-CD4A69581897}" type="pres">
      <dgm:prSet presAssocID="{C1D458E5-7AAA-4F8B-A515-506C89F4D159}" presName="parentNode2" presStyleLbl="node1" presStyleIdx="1" presStyleCnt="3">
        <dgm:presLayoutVars>
          <dgm:chMax val="0"/>
          <dgm:bulletEnabled val="1"/>
        </dgm:presLayoutVars>
      </dgm:prSet>
      <dgm:spPr bwMode="auto"/>
    </dgm:pt>
    <dgm:pt modelId="{8A9C7B22-5D7E-4A62-837C-28093C7EE22C}" type="pres">
      <dgm:prSet presAssocID="{C1D458E5-7AAA-4F8B-A515-506C89F4D159}" presName="connSite2" presStyleCnt="0"/>
      <dgm:spPr bwMode="auto"/>
    </dgm:pt>
    <dgm:pt modelId="{A7CF687D-5B6B-4F65-8135-12E38135944D}" type="pres">
      <dgm:prSet presAssocID="{D4B7ED1D-C9FB-40B5-BC85-16AD0CD2CC55}" presName="Name18" presStyleLbl="sibTrans2D1" presStyleIdx="1" presStyleCnt="2"/>
      <dgm:spPr bwMode="auto"/>
    </dgm:pt>
    <dgm:pt modelId="{0264CDC8-6E07-48B7-A55A-BDC5F8E642E0}" type="pres">
      <dgm:prSet presAssocID="{2E71A8CC-1DDE-413F-9088-E51AA9E5C591}" presName="composite1" presStyleCnt="0"/>
      <dgm:spPr bwMode="auto"/>
    </dgm:pt>
    <dgm:pt modelId="{EA63B458-2169-41B7-BE0F-D9E117895352}" type="pres">
      <dgm:prSet presAssocID="{2E71A8CC-1DDE-413F-9088-E51AA9E5C591}" presName="dummyNode1" presStyleLbl="node1" presStyleIdx="1" presStyleCnt="3"/>
      <dgm:spPr bwMode="auto"/>
    </dgm:pt>
    <dgm:pt modelId="{529C9CC9-14A3-4963-9434-6DBC65755E7F}" type="pres">
      <dgm:prSet presAssocID="{2E71A8CC-1DDE-413F-9088-E51AA9E5C591}" presName="childNode1" presStyleLbl="bgAcc1" presStyleIdx="2" presStyleCnt="3">
        <dgm:presLayoutVars>
          <dgm:bulletEnabled val="1"/>
        </dgm:presLayoutVars>
      </dgm:prSet>
      <dgm:spPr bwMode="auto"/>
    </dgm:pt>
    <dgm:pt modelId="{CEC550B3-8369-447E-BE08-354E8199251D}" type="pres">
      <dgm:prSet presAssocID="{2E71A8CC-1DDE-413F-9088-E51AA9E5C591}" presName="childNode1tx" presStyleLbl="bgAcc1" presStyleIdx="2" presStyleCnt="3">
        <dgm:presLayoutVars>
          <dgm:bulletEnabled val="1"/>
        </dgm:presLayoutVars>
      </dgm:prSet>
      <dgm:spPr bwMode="auto"/>
    </dgm:pt>
    <dgm:pt modelId="{6D5CA5E2-F101-4D82-95B6-E7EF1DD710BE}" type="pres">
      <dgm:prSet presAssocID="{2E71A8CC-1DDE-413F-9088-E51AA9E5C591}" presName="parentNode1" presStyleLbl="node1" presStyleIdx="2" presStyleCnt="3">
        <dgm:presLayoutVars>
          <dgm:chMax val="1"/>
          <dgm:bulletEnabled val="1"/>
        </dgm:presLayoutVars>
      </dgm:prSet>
      <dgm:spPr bwMode="auto"/>
    </dgm:pt>
    <dgm:pt modelId="{DD651BC9-758F-460F-BB85-25A2D956254B}" type="pres">
      <dgm:prSet presAssocID="{2E71A8CC-1DDE-413F-9088-E51AA9E5C591}" presName="connSite1" presStyleCnt="0"/>
      <dgm:spPr bwMode="auto"/>
    </dgm:pt>
  </dgm:ptLst>
  <dgm:cxnLst>
    <dgm:cxn modelId="{CFCDDA0A-4C69-4081-818D-3CAE04AB28A9}" srcId="{656EFA2C-1D4D-4CD2-A02F-5BEC6D27FD33}" destId="{91066396-57B5-405E-9424-67778BAA45A6}" srcOrd="3" destOrd="0" parTransId="{7FBEBA74-583C-45D9-BBF5-6745E411629A}" sibTransId="{69CC4A8B-6DE4-4633-AA0E-4DDC1E55152A}"/>
    <dgm:cxn modelId="{2501E518-CF1B-4303-A450-7589C9A0CA36}" srcId="{C1D458E5-7AAA-4F8B-A515-506C89F4D159}" destId="{29FEC318-B5A9-477D-9550-FF8B12B0C4FD}" srcOrd="1" destOrd="0" parTransId="{62336824-63D9-4F96-A12C-0CFCDD405FE6}" sibTransId="{F9DE956F-10D1-45B3-9B5C-758911302317}"/>
    <dgm:cxn modelId="{8E21411A-21A2-4B71-8868-3359068C3F82}" type="presOf" srcId="{D4B7ED1D-C9FB-40B5-BC85-16AD0CD2CC55}" destId="{A7CF687D-5B6B-4F65-8135-12E38135944D}" srcOrd="0" destOrd="0" presId="urn:microsoft.com/office/officeart/2005/8/layout/hProcess4"/>
    <dgm:cxn modelId="{C8EEFE2D-7B5F-4273-B7C8-EDE69E87D966}" srcId="{2E71A8CC-1DDE-413F-9088-E51AA9E5C591}" destId="{91A82D7B-91F9-4572-8304-71F3E170A7BC}" srcOrd="1" destOrd="0" parTransId="{339F18E9-173A-487F-9E3C-C7515AC062B5}" sibTransId="{833BFD48-21F1-4A04-A07E-3FB5AD972EEA}"/>
    <dgm:cxn modelId="{8D5F7232-471F-4662-8034-62F5AA6BA029}" type="presOf" srcId="{91066396-57B5-405E-9424-67778BAA45A6}" destId="{93EEF2C6-D0B6-4958-BAA6-27AA4E6D20BE}" srcOrd="1" destOrd="3" presId="urn:microsoft.com/office/officeart/2005/8/layout/hProcess4"/>
    <dgm:cxn modelId="{75BCB33A-49FC-4BE5-A82D-3B0F29C9D8D8}" type="presOf" srcId="{C1D458E5-7AAA-4F8B-A515-506C89F4D159}" destId="{1898D243-BEE4-4A73-B220-CD4A69581897}" srcOrd="0" destOrd="0" presId="urn:microsoft.com/office/officeart/2005/8/layout/hProcess4"/>
    <dgm:cxn modelId="{72B8DA42-EC3F-4132-8712-A44F5C5C1BEC}" type="presOf" srcId="{91A82D7B-91F9-4572-8304-71F3E170A7BC}" destId="{529C9CC9-14A3-4963-9434-6DBC65755E7F}" srcOrd="0" destOrd="1" presId="urn:microsoft.com/office/officeart/2005/8/layout/hProcess4"/>
    <dgm:cxn modelId="{A5BAAF48-19E0-4E70-8D31-65F418AD5DA9}" type="presOf" srcId="{8A7DFCCB-50E3-44EA-AC85-5176FF2775FD}" destId="{04D3BE18-57A5-4073-A2B4-08DFCE1E8BEB}" srcOrd="1" destOrd="0" presId="urn:microsoft.com/office/officeart/2005/8/layout/hProcess4"/>
    <dgm:cxn modelId="{BC61664E-0485-4953-8033-4B5A6C65551C}" type="presOf" srcId="{29FEC318-B5A9-477D-9550-FF8B12B0C4FD}" destId="{04D3BE18-57A5-4073-A2B4-08DFCE1E8BEB}" srcOrd="1" destOrd="1" presId="urn:microsoft.com/office/officeart/2005/8/layout/hProcess4"/>
    <dgm:cxn modelId="{32F21D50-64FF-4522-A883-B2052A8F5FAD}" srcId="{C1D458E5-7AAA-4F8B-A515-506C89F4D159}" destId="{F931683A-AC08-402A-B488-2504662D7138}" srcOrd="2" destOrd="0" parTransId="{3A27857E-3AEB-4442-AA20-7C97E0762C14}" sibTransId="{5BD37DC2-B74D-4FE1-9F8D-894045952155}"/>
    <dgm:cxn modelId="{CCAFB552-8791-4879-B327-EDC672EDFDCF}" type="presOf" srcId="{36581023-3B22-4470-B003-6DD65532F49C}" destId="{CF2272AD-E564-42EC-90F3-D98F6629DF4E}" srcOrd="0" destOrd="2" presId="urn:microsoft.com/office/officeart/2005/8/layout/hProcess4"/>
    <dgm:cxn modelId="{F18D365B-9EAB-4E9B-9666-683EE25976C1}" srcId="{656EFA2C-1D4D-4CD2-A02F-5BEC6D27FD33}" destId="{A2B1663E-111A-47F3-A6C6-C3FA1B10A772}" srcOrd="1" destOrd="0" parTransId="{67126B06-F086-4C0F-A0F8-534F3AF58850}" sibTransId="{1BF9A2E2-6299-4AE3-A045-4B68D2515AFB}"/>
    <dgm:cxn modelId="{A444C65C-4E2F-4F06-9C7E-887DC7440B69}" type="presOf" srcId="{A2B1663E-111A-47F3-A6C6-C3FA1B10A772}" destId="{CF2272AD-E564-42EC-90F3-D98F6629DF4E}" srcOrd="0" destOrd="1" presId="urn:microsoft.com/office/officeart/2005/8/layout/hProcess4"/>
    <dgm:cxn modelId="{B563F663-1DDE-4F13-B38E-83D547861EF4}" type="presOf" srcId="{36581023-3B22-4470-B003-6DD65532F49C}" destId="{93EEF2C6-D0B6-4958-BAA6-27AA4E6D20BE}" srcOrd="1" destOrd="2" presId="urn:microsoft.com/office/officeart/2005/8/layout/hProcess4"/>
    <dgm:cxn modelId="{F29BD066-97E3-4FF4-9B60-EB3BBF6416EE}" type="presOf" srcId="{8A7DFCCB-50E3-44EA-AC85-5176FF2775FD}" destId="{08EFCF8C-3582-4782-BE5C-CF3DC6F20A4F}" srcOrd="0" destOrd="0" presId="urn:microsoft.com/office/officeart/2005/8/layout/hProcess4"/>
    <dgm:cxn modelId="{5FC45B6A-4081-4D8F-AE66-C1AFDBCC9F64}" type="presOf" srcId="{148CB028-36BE-4742-9035-3170611BA469}" destId="{529C9CC9-14A3-4963-9434-6DBC65755E7F}" srcOrd="0" destOrd="2" presId="urn:microsoft.com/office/officeart/2005/8/layout/hProcess4"/>
    <dgm:cxn modelId="{62DD7E71-B03C-4500-8ADD-5E7274A178B4}" srcId="{2E71A8CC-1DDE-413F-9088-E51AA9E5C591}" destId="{148CB028-36BE-4742-9035-3170611BA469}" srcOrd="2" destOrd="0" parTransId="{81541074-768C-4923-9E77-35EBAD218D24}" sibTransId="{0D706250-8668-45E1-AF6F-5A5E561F9728}"/>
    <dgm:cxn modelId="{9A2F5679-C33C-4FB7-B7C6-109BD396E4A1}" type="presOf" srcId="{29FEC318-B5A9-477D-9550-FF8B12B0C4FD}" destId="{08EFCF8C-3582-4782-BE5C-CF3DC6F20A4F}" srcOrd="0" destOrd="1" presId="urn:microsoft.com/office/officeart/2005/8/layout/hProcess4"/>
    <dgm:cxn modelId="{5C941C82-D20B-4E70-9995-EB82B73F89A2}" type="presOf" srcId="{0C067409-4632-4741-838F-CCF4A436085E}" destId="{529C9CC9-14A3-4963-9434-6DBC65755E7F}" srcOrd="0" destOrd="0" presId="urn:microsoft.com/office/officeart/2005/8/layout/hProcess4"/>
    <dgm:cxn modelId="{6D96E582-86E5-4F7E-B384-DC7951FD8237}" type="presOf" srcId="{656EFA2C-1D4D-4CD2-A02F-5BEC6D27FD33}" destId="{4ABDE095-E82F-43F7-9260-456D3A518897}" srcOrd="0" destOrd="0" presId="urn:microsoft.com/office/officeart/2005/8/layout/hProcess4"/>
    <dgm:cxn modelId="{C9B05F85-5E6D-4EA4-AAE0-88D156717194}" srcId="{C1D458E5-7AAA-4F8B-A515-506C89F4D159}" destId="{8A7DFCCB-50E3-44EA-AC85-5176FF2775FD}" srcOrd="0" destOrd="0" parTransId="{86625EE9-D54C-4CFD-80FB-697CE7C350F2}" sibTransId="{D28EE362-428C-48BD-BF20-7592EFC62404}"/>
    <dgm:cxn modelId="{D908588C-B288-4A85-B4AC-8B06E865B895}" srcId="{656EFA2C-1D4D-4CD2-A02F-5BEC6D27FD33}" destId="{FE6F770E-B245-4480-8206-370EE902A8F9}" srcOrd="0" destOrd="0" parTransId="{BF0C0B5B-5E8F-4242-93E4-6A2F9554A232}" sibTransId="{46884FAB-B652-4C14-9371-88303B4FC569}"/>
    <dgm:cxn modelId="{34BEE991-46E1-4669-A75D-68DE495994A3}" srcId="{F96C8405-9BD4-4E24-A2EA-7697FEC79E13}" destId="{C1D458E5-7AAA-4F8B-A515-506C89F4D159}" srcOrd="1" destOrd="0" parTransId="{36037C3A-D2B2-4A46-B083-9EC69859C9B7}" sibTransId="{D4B7ED1D-C9FB-40B5-BC85-16AD0CD2CC55}"/>
    <dgm:cxn modelId="{6345D393-4E58-4070-A55C-E1AF8098C4C8}" type="presOf" srcId="{F96C8405-9BD4-4E24-A2EA-7697FEC79E13}" destId="{F09196AB-5337-45E8-98E0-CCFBC284CB1B}" srcOrd="0" destOrd="0" presId="urn:microsoft.com/office/officeart/2005/8/layout/hProcess4"/>
    <dgm:cxn modelId="{51E25E96-40E7-4E64-8B1C-C3921BDDD605}" type="presOf" srcId="{F931683A-AC08-402A-B488-2504662D7138}" destId="{08EFCF8C-3582-4782-BE5C-CF3DC6F20A4F}" srcOrd="0" destOrd="2" presId="urn:microsoft.com/office/officeart/2005/8/layout/hProcess4"/>
    <dgm:cxn modelId="{2A867DA1-C290-4C21-8A4D-BC7E2D6A6C2E}" type="presOf" srcId="{148CB028-36BE-4742-9035-3170611BA469}" destId="{CEC550B3-8369-447E-BE08-354E8199251D}" srcOrd="1" destOrd="2" presId="urn:microsoft.com/office/officeart/2005/8/layout/hProcess4"/>
    <dgm:cxn modelId="{43F53CA2-3F92-49A0-85B7-629EAC538AA7}" type="presOf" srcId="{91066396-57B5-405E-9424-67778BAA45A6}" destId="{CF2272AD-E564-42EC-90F3-D98F6629DF4E}" srcOrd="0" destOrd="3" presId="urn:microsoft.com/office/officeart/2005/8/layout/hProcess4"/>
    <dgm:cxn modelId="{825592AA-BEC9-4745-9719-510097E1AB77}" type="presOf" srcId="{5F5C8E01-4279-44A3-9862-DCFE7F504AF2}" destId="{04D3BE18-57A5-4073-A2B4-08DFCE1E8BEB}" srcOrd="1" destOrd="3" presId="urn:microsoft.com/office/officeart/2005/8/layout/hProcess4"/>
    <dgm:cxn modelId="{E4D535AF-5903-49C6-A362-20D419314C08}" srcId="{F96C8405-9BD4-4E24-A2EA-7697FEC79E13}" destId="{656EFA2C-1D4D-4CD2-A02F-5BEC6D27FD33}" srcOrd="0" destOrd="0" parTransId="{C6643699-6F28-41A8-9C66-99E4B5BE8019}" sibTransId="{BE0CE9D1-007F-42FC-9D16-B6AE1B4FD7A1}"/>
    <dgm:cxn modelId="{0185F4B0-B3B1-45B7-B868-0A7ADC7926EA}" srcId="{C1D458E5-7AAA-4F8B-A515-506C89F4D159}" destId="{5F5C8E01-4279-44A3-9862-DCFE7F504AF2}" srcOrd="3" destOrd="0" parTransId="{257E0283-04D7-4704-A0AA-9498655ED18A}" sibTransId="{0B6E3E7C-8933-4E41-8FE4-2CA8DBF5C316}"/>
    <dgm:cxn modelId="{F65415B8-7977-4E87-84E3-F471F975E01E}" type="presOf" srcId="{A2B1663E-111A-47F3-A6C6-C3FA1B10A772}" destId="{93EEF2C6-D0B6-4958-BAA6-27AA4E6D20BE}" srcOrd="1" destOrd="1" presId="urn:microsoft.com/office/officeart/2005/8/layout/hProcess4"/>
    <dgm:cxn modelId="{D0A897BD-A45A-4044-8848-D8FEB1524A93}" type="presOf" srcId="{2E71A8CC-1DDE-413F-9088-E51AA9E5C591}" destId="{6D5CA5E2-F101-4D82-95B6-E7EF1DD710BE}" srcOrd="0" destOrd="0" presId="urn:microsoft.com/office/officeart/2005/8/layout/hProcess4"/>
    <dgm:cxn modelId="{9AEA02C0-BBCA-4041-98E3-33EEFAA95C35}" type="presOf" srcId="{BE0CE9D1-007F-42FC-9D16-B6AE1B4FD7A1}" destId="{4D5F7174-1A50-4B8A-81AB-C153AE3BFAA1}" srcOrd="0" destOrd="0" presId="urn:microsoft.com/office/officeart/2005/8/layout/hProcess4"/>
    <dgm:cxn modelId="{AC7D4EC4-E207-4D58-8315-5E2E27E8BA68}" type="presOf" srcId="{5F5C8E01-4279-44A3-9862-DCFE7F504AF2}" destId="{08EFCF8C-3582-4782-BE5C-CF3DC6F20A4F}" srcOrd="0" destOrd="3" presId="urn:microsoft.com/office/officeart/2005/8/layout/hProcess4"/>
    <dgm:cxn modelId="{A00BA7C5-194E-4B37-844B-C83EFF7C9138}" srcId="{F96C8405-9BD4-4E24-A2EA-7697FEC79E13}" destId="{2E71A8CC-1DDE-413F-9088-E51AA9E5C591}" srcOrd="2" destOrd="0" parTransId="{AF3EF2C4-435E-433C-A515-0E2DCB8AF080}" sibTransId="{345C1553-E29B-438B-B03F-5470FE73C7FE}"/>
    <dgm:cxn modelId="{3F4554CD-DDAA-44E6-BAB6-6760561DF85C}" type="presOf" srcId="{91A82D7B-91F9-4572-8304-71F3E170A7BC}" destId="{CEC550B3-8369-447E-BE08-354E8199251D}" srcOrd="1" destOrd="1" presId="urn:microsoft.com/office/officeart/2005/8/layout/hProcess4"/>
    <dgm:cxn modelId="{CD4D9FCD-DD45-43B5-82D9-28B325A51E8B}" srcId="{2E71A8CC-1DDE-413F-9088-E51AA9E5C591}" destId="{0C067409-4632-4741-838F-CCF4A436085E}" srcOrd="0" destOrd="0" parTransId="{F2E9A55C-CBF9-42BC-9C16-FAFE0AAAB0D0}" sibTransId="{C917DB95-7356-4EE4-AC99-EF01CB37E5FA}"/>
    <dgm:cxn modelId="{9C2512DE-76F1-4AB6-BD79-A1C0E4B51C1E}" type="presOf" srcId="{0C067409-4632-4741-838F-CCF4A436085E}" destId="{CEC550B3-8369-447E-BE08-354E8199251D}" srcOrd="1" destOrd="0" presId="urn:microsoft.com/office/officeart/2005/8/layout/hProcess4"/>
    <dgm:cxn modelId="{9123DEE5-D9CC-4313-ADC3-14BF06DE1313}" type="presOf" srcId="{FE6F770E-B245-4480-8206-370EE902A8F9}" destId="{CF2272AD-E564-42EC-90F3-D98F6629DF4E}" srcOrd="0" destOrd="0" presId="urn:microsoft.com/office/officeart/2005/8/layout/hProcess4"/>
    <dgm:cxn modelId="{4B3A89ED-1E9A-43E8-BF38-204AB5CE56D6}" srcId="{656EFA2C-1D4D-4CD2-A02F-5BEC6D27FD33}" destId="{36581023-3B22-4470-B003-6DD65532F49C}" srcOrd="2" destOrd="0" parTransId="{3188AC4F-BA87-46E7-9848-2A9B6D80E2CD}" sibTransId="{00D6F277-0943-4AAF-9DB6-ED30F66A11A0}"/>
    <dgm:cxn modelId="{0AD5FDF1-626D-4426-BF6E-33D242E9C34B}" type="presOf" srcId="{FE6F770E-B245-4480-8206-370EE902A8F9}" destId="{93EEF2C6-D0B6-4958-BAA6-27AA4E6D20BE}" srcOrd="1" destOrd="0" presId="urn:microsoft.com/office/officeart/2005/8/layout/hProcess4"/>
    <dgm:cxn modelId="{F99E1CFF-B12B-423D-9ADD-89533E19262B}" type="presOf" srcId="{F931683A-AC08-402A-B488-2504662D7138}" destId="{04D3BE18-57A5-4073-A2B4-08DFCE1E8BEB}" srcOrd="1" destOrd="2" presId="urn:microsoft.com/office/officeart/2005/8/layout/hProcess4"/>
    <dgm:cxn modelId="{F0421F28-189F-470B-9895-08CFE2ACF571}" type="presParOf" srcId="{F09196AB-5337-45E8-98E0-CCFBC284CB1B}" destId="{9E9056E2-EC89-423E-9935-4F9C4281E73A}" srcOrd="0" destOrd="0" presId="urn:microsoft.com/office/officeart/2005/8/layout/hProcess4"/>
    <dgm:cxn modelId="{AA1DCEDA-BE32-4299-85E8-6AB9D9BDE4B2}" type="presParOf" srcId="{F09196AB-5337-45E8-98E0-CCFBC284CB1B}" destId="{5C3F9892-C74A-4E53-A814-DAB2C13E6326}" srcOrd="1" destOrd="0" presId="urn:microsoft.com/office/officeart/2005/8/layout/hProcess4"/>
    <dgm:cxn modelId="{E2862C4A-2DCD-4B0B-8882-BAC4FE44E31A}" type="presParOf" srcId="{F09196AB-5337-45E8-98E0-CCFBC284CB1B}" destId="{C1B22A5F-BE2A-48AF-BF6D-C0BC41736159}" srcOrd="2" destOrd="0" presId="urn:microsoft.com/office/officeart/2005/8/layout/hProcess4"/>
    <dgm:cxn modelId="{B50D6135-8B9A-4F59-9627-2930868F5D6E}" type="presParOf" srcId="{C1B22A5F-BE2A-48AF-BF6D-C0BC41736159}" destId="{E4780A28-F3B6-40E5-BB5B-24B94DA0AC95}" srcOrd="0" destOrd="0" presId="urn:microsoft.com/office/officeart/2005/8/layout/hProcess4"/>
    <dgm:cxn modelId="{8F38E7D5-D99F-4BB6-996F-8CD95D25BF20}" type="presParOf" srcId="{E4780A28-F3B6-40E5-BB5B-24B94DA0AC95}" destId="{A6AF05C3-DFC2-48A2-830A-74FFA44C392C}" srcOrd="0" destOrd="0" presId="urn:microsoft.com/office/officeart/2005/8/layout/hProcess4"/>
    <dgm:cxn modelId="{7166FB78-F94B-461D-AA05-08D48A2D4F6D}" type="presParOf" srcId="{E4780A28-F3B6-40E5-BB5B-24B94DA0AC95}" destId="{CF2272AD-E564-42EC-90F3-D98F6629DF4E}" srcOrd="1" destOrd="0" presId="urn:microsoft.com/office/officeart/2005/8/layout/hProcess4"/>
    <dgm:cxn modelId="{03D973E6-C23A-4208-89F4-47EBD05BBFDC}" type="presParOf" srcId="{E4780A28-F3B6-40E5-BB5B-24B94DA0AC95}" destId="{93EEF2C6-D0B6-4958-BAA6-27AA4E6D20BE}" srcOrd="2" destOrd="0" presId="urn:microsoft.com/office/officeart/2005/8/layout/hProcess4"/>
    <dgm:cxn modelId="{1D4AEB3A-525F-46AC-AB71-2550A568BEED}" type="presParOf" srcId="{E4780A28-F3B6-40E5-BB5B-24B94DA0AC95}" destId="{4ABDE095-E82F-43F7-9260-456D3A518897}" srcOrd="3" destOrd="0" presId="urn:microsoft.com/office/officeart/2005/8/layout/hProcess4"/>
    <dgm:cxn modelId="{5848F9AB-4FE9-422C-AD7B-AC733F9CBFD2}" type="presParOf" srcId="{E4780A28-F3B6-40E5-BB5B-24B94DA0AC95}" destId="{52AB4BFF-D2CD-452C-8B7F-F3485F78F895}" srcOrd="4" destOrd="0" presId="urn:microsoft.com/office/officeart/2005/8/layout/hProcess4"/>
    <dgm:cxn modelId="{83C94DBF-8FBD-4256-9845-81EF8EF534D1}" type="presParOf" srcId="{C1B22A5F-BE2A-48AF-BF6D-C0BC41736159}" destId="{4D5F7174-1A50-4B8A-81AB-C153AE3BFAA1}" srcOrd="1" destOrd="0" presId="urn:microsoft.com/office/officeart/2005/8/layout/hProcess4"/>
    <dgm:cxn modelId="{EF500B92-2F32-4C13-B323-C87A61434907}" type="presParOf" srcId="{C1B22A5F-BE2A-48AF-BF6D-C0BC41736159}" destId="{988825E1-F57C-4C45-9C52-5D2B85338F3F}" srcOrd="2" destOrd="0" presId="urn:microsoft.com/office/officeart/2005/8/layout/hProcess4"/>
    <dgm:cxn modelId="{E4E6C0F1-4E54-4EFD-A9FD-B8C53D0CFA42}" type="presParOf" srcId="{988825E1-F57C-4C45-9C52-5D2B85338F3F}" destId="{1B34E68B-AD85-443F-80C3-15B42120EFD3}" srcOrd="0" destOrd="0" presId="urn:microsoft.com/office/officeart/2005/8/layout/hProcess4"/>
    <dgm:cxn modelId="{6A5CCAB2-FFF2-48AC-84DA-6D60C9605EBC}" type="presParOf" srcId="{988825E1-F57C-4C45-9C52-5D2B85338F3F}" destId="{08EFCF8C-3582-4782-BE5C-CF3DC6F20A4F}" srcOrd="1" destOrd="0" presId="urn:microsoft.com/office/officeart/2005/8/layout/hProcess4"/>
    <dgm:cxn modelId="{EF6BB1A9-00E1-4F1E-972F-CB8AB63DBADA}" type="presParOf" srcId="{988825E1-F57C-4C45-9C52-5D2B85338F3F}" destId="{04D3BE18-57A5-4073-A2B4-08DFCE1E8BEB}" srcOrd="2" destOrd="0" presId="urn:microsoft.com/office/officeart/2005/8/layout/hProcess4"/>
    <dgm:cxn modelId="{19C0B07F-AD30-4240-9789-786124C86271}" type="presParOf" srcId="{988825E1-F57C-4C45-9C52-5D2B85338F3F}" destId="{1898D243-BEE4-4A73-B220-CD4A69581897}" srcOrd="3" destOrd="0" presId="urn:microsoft.com/office/officeart/2005/8/layout/hProcess4"/>
    <dgm:cxn modelId="{FFD0104E-77D6-4F8F-BCD9-2ECE9B5520DB}" type="presParOf" srcId="{988825E1-F57C-4C45-9C52-5D2B85338F3F}" destId="{8A9C7B22-5D7E-4A62-837C-28093C7EE22C}" srcOrd="4" destOrd="0" presId="urn:microsoft.com/office/officeart/2005/8/layout/hProcess4"/>
    <dgm:cxn modelId="{A22E3973-4923-448C-B492-360FA45F0550}" type="presParOf" srcId="{C1B22A5F-BE2A-48AF-BF6D-C0BC41736159}" destId="{A7CF687D-5B6B-4F65-8135-12E38135944D}" srcOrd="3" destOrd="0" presId="urn:microsoft.com/office/officeart/2005/8/layout/hProcess4"/>
    <dgm:cxn modelId="{B57DE440-9167-4B71-A37C-A234E95D9EA3}" type="presParOf" srcId="{C1B22A5F-BE2A-48AF-BF6D-C0BC41736159}" destId="{0264CDC8-6E07-48B7-A55A-BDC5F8E642E0}" srcOrd="4" destOrd="0" presId="urn:microsoft.com/office/officeart/2005/8/layout/hProcess4"/>
    <dgm:cxn modelId="{BF024905-F4ED-48C2-9345-DC83D9D377B5}" type="presParOf" srcId="{0264CDC8-6E07-48B7-A55A-BDC5F8E642E0}" destId="{EA63B458-2169-41B7-BE0F-D9E117895352}" srcOrd="0" destOrd="0" presId="urn:microsoft.com/office/officeart/2005/8/layout/hProcess4"/>
    <dgm:cxn modelId="{9FB980D9-A97F-4220-BD32-81A6E2D4AC76}" type="presParOf" srcId="{0264CDC8-6E07-48B7-A55A-BDC5F8E642E0}" destId="{529C9CC9-14A3-4963-9434-6DBC65755E7F}" srcOrd="1" destOrd="0" presId="urn:microsoft.com/office/officeart/2005/8/layout/hProcess4"/>
    <dgm:cxn modelId="{0A9994E7-0CAD-44A7-80F9-48A37D60402A}" type="presParOf" srcId="{0264CDC8-6E07-48B7-A55A-BDC5F8E642E0}" destId="{CEC550B3-8369-447E-BE08-354E8199251D}" srcOrd="2" destOrd="0" presId="urn:microsoft.com/office/officeart/2005/8/layout/hProcess4"/>
    <dgm:cxn modelId="{27FCF9BE-65FC-4BEE-A03C-3DA28937CEAC}" type="presParOf" srcId="{0264CDC8-6E07-48B7-A55A-BDC5F8E642E0}" destId="{6D5CA5E2-F101-4D82-95B6-E7EF1DD710BE}" srcOrd="3" destOrd="0" presId="urn:microsoft.com/office/officeart/2005/8/layout/hProcess4"/>
    <dgm:cxn modelId="{CB52E4F5-F437-4A6D-957D-EDCCC5B3028B}" type="presParOf" srcId="{0264CDC8-6E07-48B7-A55A-BDC5F8E642E0}" destId="{DD651BC9-758F-460F-BB85-25A2D956254B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" minVer="http://schemas.openxmlformats.org/drawingml/2006/diagram"/>
    </a:ext>
  </dgm:extLst>
</dgm:dataModel>
</file>

<file path=word/diagrams/drawing1.xml><?xml version="1.0" encoding="utf-8"?>
<dsp:drawing xmlns:dsp="http://schemas.microsoft.com/office/drawing/2008/diagram" xmlns:dgm="http://schemas.openxmlformats.org/drawingml/2006/diagram" xmlns:a="http://schemas.openxmlformats.org/drawingml/2006/main" xmlns:r="http://schemas.openxmlformats.org/officeDocument/2006/relationships">
  <dsp:spTree>
    <dsp:nvGrpSpPr>
      <dsp:cNvPr id="0" name=""/>
      <dsp:cNvGrpSpPr/>
    </dsp:nvGrpSpPr>
    <dsp:grpSpPr bwMode="auto">
      <a:xfrm>
        <a:off x="0" y="0"/>
        <a:ext cx="6103620" cy="4099560"/>
        <a:chOff x="0" y="0"/>
        <a:chExt cx="6103620" cy="4099560"/>
      </a:xfrm>
    </dsp:grpSpPr>
    <dsp:sp modelId="{4E4D9429-1068-457B-A384-B5819689184F}">
      <dsp:nvSpPr>
        <dsp:cNvPr id="0" name=""/>
        <dsp:cNvSpPr/>
      </dsp:nvSpPr>
      <dsp:spPr bwMode="auto">
        <a:xfrm rot="5400000">
          <a:off x="-170247" y="172515"/>
          <a:ext cx="1134985" cy="794489"/>
        </a:xfrm>
        <a:prstGeom prst="chevron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ru-RU" sz="1000" b="1">
              <a:latin typeface="Arial Narrow"/>
            </a:rPr>
            <a:t>Цели</a:t>
          </a:r>
          <a:endParaRPr/>
        </a:p>
      </dsp:txBody>
      <dsp:txXfrm rot="-5400000">
        <a:off x="2" y="399512"/>
        <a:ext cx="794489" cy="340496"/>
      </dsp:txXfrm>
    </dsp:sp>
    <dsp:sp modelId="{760B032F-57F5-4652-9309-9001E13A8160}">
      <dsp:nvSpPr>
        <dsp:cNvPr id="0" name=""/>
        <dsp:cNvSpPr/>
      </dsp:nvSpPr>
      <dsp:spPr bwMode="auto">
        <a:xfrm rot="5400000">
          <a:off x="3080184" y="-2283427"/>
          <a:ext cx="737740" cy="5309130"/>
        </a:xfrm>
        <a:prstGeom prst="round2SameRect">
          <a:avLst>
            <a:gd name="adj1" fmla="val 16667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Стратегические ориентиры</a:t>
          </a:r>
          <a:endParaRPr/>
        </a:p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Цели и задачи</a:t>
          </a:r>
          <a:endParaRPr/>
        </a:p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Приоритетные направления</a:t>
          </a:r>
          <a:endParaRPr/>
        </a:p>
      </dsp:txBody>
      <dsp:txXfrm rot="-5400000">
        <a:off x="794490" y="38280"/>
        <a:ext cx="5273116" cy="665714"/>
      </dsp:txXfrm>
    </dsp:sp>
    <dsp:sp modelId="{62F03A82-8DCF-45C9-8140-1CF7E7BF33AD}">
      <dsp:nvSpPr>
        <dsp:cNvPr id="0" name=""/>
        <dsp:cNvSpPr/>
      </dsp:nvSpPr>
      <dsp:spPr bwMode="auto">
        <a:xfrm rot="5400000">
          <a:off x="-170247" y="1159195"/>
          <a:ext cx="1134985" cy="794489"/>
        </a:xfrm>
        <a:prstGeom prst="chevron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ru-RU" sz="1000" b="1">
              <a:latin typeface="Arial Narrow"/>
            </a:rPr>
            <a:t>План</a:t>
          </a:r>
          <a:endParaRPr/>
        </a:p>
      </dsp:txBody>
      <dsp:txXfrm rot="-5400000">
        <a:off x="2" y="1386192"/>
        <a:ext cx="794489" cy="340496"/>
      </dsp:txXfrm>
    </dsp:sp>
    <dsp:sp modelId="{429DD8B4-E7EF-485E-BD0D-D4A2BDF12AA2}">
      <dsp:nvSpPr>
        <dsp:cNvPr id="0" name=""/>
        <dsp:cNvSpPr/>
      </dsp:nvSpPr>
      <dsp:spPr bwMode="auto">
        <a:xfrm rot="5400000">
          <a:off x="3080184" y="-1296747"/>
          <a:ext cx="737740" cy="5309130"/>
        </a:xfrm>
        <a:prstGeom prst="round2SameRect">
          <a:avLst>
            <a:gd name="adj1" fmla="val 16667"/>
            <a:gd name="adj2" fmla="val 0"/>
          </a:avLst>
        </a:prstGeom>
        <a:solidFill>
          <a:schemeClr val="tx2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План мероприятий, проводимых на международном, федеральном и региональном уровнях</a:t>
          </a:r>
          <a:endParaRPr/>
        </a:p>
      </dsp:txBody>
      <dsp:txXfrm rot="-5400000">
        <a:off x="794490" y="1024960"/>
        <a:ext cx="5273116" cy="665714"/>
      </dsp:txXfrm>
    </dsp:sp>
    <dsp:sp modelId="{072DA36A-D615-4A00-BA98-7631D6128E1E}">
      <dsp:nvSpPr>
        <dsp:cNvPr id="0" name=""/>
        <dsp:cNvSpPr/>
      </dsp:nvSpPr>
      <dsp:spPr bwMode="auto">
        <a:xfrm rot="5400000">
          <a:off x="-170247" y="2145874"/>
          <a:ext cx="1134985" cy="794489"/>
        </a:xfrm>
        <a:prstGeom prst="chevron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ru-RU" sz="1000" b="1">
              <a:latin typeface="Arial Narrow"/>
            </a:rPr>
            <a:t>Ресурсный план</a:t>
          </a:r>
          <a:endParaRPr/>
        </a:p>
      </dsp:txBody>
      <dsp:txXfrm rot="-5400000">
        <a:off x="2" y="2372871"/>
        <a:ext cx="794489" cy="340496"/>
      </dsp:txXfrm>
    </dsp:sp>
    <dsp:sp modelId="{E6F4674A-FE4C-46DF-AC9A-D18A174047A0}">
      <dsp:nvSpPr>
        <dsp:cNvPr id="0" name=""/>
        <dsp:cNvSpPr/>
      </dsp:nvSpPr>
      <dsp:spPr bwMode="auto">
        <a:xfrm rot="5400000">
          <a:off x="3080184" y="-310067"/>
          <a:ext cx="737740" cy="5309130"/>
        </a:xfrm>
        <a:prstGeom prst="round2SameRect">
          <a:avLst>
            <a:gd name="adj1" fmla="val 16667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Оценка потребности в ресурсах</a:t>
          </a:r>
          <a:endParaRPr/>
        </a:p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Финансовый план</a:t>
          </a:r>
          <a:endParaRPr/>
        </a:p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Бизнес-план</a:t>
          </a:r>
          <a:endParaRPr/>
        </a:p>
      </dsp:txBody>
      <dsp:txXfrm rot="-5400000">
        <a:off x="794490" y="2011640"/>
        <a:ext cx="5273116" cy="665714"/>
      </dsp:txXfrm>
    </dsp:sp>
    <dsp:sp modelId="{68771100-CC7A-484B-8BF0-73A912114DD3}">
      <dsp:nvSpPr>
        <dsp:cNvPr id="0" name=""/>
        <dsp:cNvSpPr/>
      </dsp:nvSpPr>
      <dsp:spPr bwMode="auto">
        <a:xfrm rot="5400000">
          <a:off x="-170247" y="3132554"/>
          <a:ext cx="1134985" cy="794489"/>
        </a:xfrm>
        <a:prstGeom prst="chevron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ru-RU" sz="1000" b="1">
              <a:latin typeface="Arial Narrow"/>
            </a:rPr>
            <a:t>Система контроля</a:t>
          </a:r>
          <a:endParaRPr/>
        </a:p>
      </dsp:txBody>
      <dsp:txXfrm rot="-5400000">
        <a:off x="2" y="3359551"/>
        <a:ext cx="794489" cy="340496"/>
      </dsp:txXfrm>
    </dsp:sp>
    <dsp:sp modelId="{48BE0FE4-770E-46F6-8313-6918C556DB8F}">
      <dsp:nvSpPr>
        <dsp:cNvPr id="0" name=""/>
        <dsp:cNvSpPr/>
      </dsp:nvSpPr>
      <dsp:spPr bwMode="auto">
        <a:xfrm rot="5400000">
          <a:off x="3080184" y="676611"/>
          <a:ext cx="737740" cy="5309130"/>
        </a:xfrm>
        <a:prstGeom prst="round2SameRect">
          <a:avLst>
            <a:gd name="adj1" fmla="val 16667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Установление показателей</a:t>
          </a:r>
          <a:endParaRPr/>
        </a:p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Сбор и анализ данных</a:t>
          </a:r>
          <a:endParaRPr/>
        </a:p>
        <a:p>
          <a:pPr marL="114300" lvl="1" indent="-114300" algn="l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200">
              <a:latin typeface="Arial Narrow"/>
            </a:rPr>
            <a:t>Корректировка планов</a:t>
          </a:r>
          <a:endParaRPr/>
        </a:p>
      </dsp:txBody>
      <dsp:txXfrm rot="-5400000">
        <a:off x="794490" y="2998319"/>
        <a:ext cx="5273116" cy="665714"/>
      </dsp:txXfrm>
    </dsp:sp>
  </dsp:spTree>
</dsp:drawing>
</file>

<file path=word/diagrams/drawing2.xml><?xml version="1.0" encoding="utf-8"?>
<dsp:drawing xmlns:dsp="http://schemas.microsoft.com/office/drawing/2008/diagram" xmlns:dgm="http://schemas.openxmlformats.org/drawingml/2006/diagram" xmlns:a="http://schemas.openxmlformats.org/drawingml/2006/main" xmlns:r="http://schemas.openxmlformats.org/officeDocument/2006/relationships">
  <dsp:spTree>
    <dsp:nvGrpSpPr>
      <dsp:cNvPr id="0" name=""/>
      <dsp:cNvGrpSpPr/>
    </dsp:nvGrpSpPr>
    <dsp:grpSpPr bwMode="auto">
      <a:xfrm>
        <a:off x="0" y="0"/>
        <a:ext cx="6102350" cy="3200400"/>
        <a:chOff x="0" y="0"/>
        <a:chExt cx="6102350" cy="3200400"/>
      </a:xfrm>
    </dsp:grpSpPr>
    <dsp:sp modelId="{CF2272AD-E564-42EC-90F3-D98F6629DF4E}">
      <dsp:nvSpPr>
        <dsp:cNvPr id="0" name=""/>
        <dsp:cNvSpPr/>
      </dsp:nvSpPr>
      <dsp:spPr bwMode="auto">
        <a:xfrm>
          <a:off x="1252" y="911817"/>
          <a:ext cx="1669230" cy="137676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Бюджетные фонды (гос.органы)</a:t>
          </a:r>
          <a:endParaRPr/>
        </a:p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Внебюджетные фонды (спонсоры)</a:t>
          </a:r>
          <a:endParaRPr/>
        </a:p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Гранты</a:t>
          </a:r>
          <a:endParaRPr/>
        </a:p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Членские взносы</a:t>
          </a:r>
          <a:endParaRPr/>
        </a:p>
      </dsp:txBody>
      <dsp:txXfrm>
        <a:off x="32935" y="943500"/>
        <a:ext cx="1605864" cy="1018378"/>
      </dsp:txXfrm>
    </dsp:sp>
    <dsp:sp modelId="{4D5F7174-1A50-4B8A-81AB-C153AE3BFAA1}">
      <dsp:nvSpPr>
        <dsp:cNvPr id="0" name=""/>
        <dsp:cNvSpPr/>
      </dsp:nvSpPr>
      <dsp:spPr bwMode="auto">
        <a:xfrm>
          <a:off x="941929" y="1249104"/>
          <a:ext cx="1826987" cy="1826987"/>
        </a:xfrm>
        <a:prstGeom prst="leftCircularArrow">
          <a:avLst>
            <a:gd name="adj1" fmla="val 3079"/>
            <a:gd name="adj2" fmla="val 378239"/>
            <a:gd name="adj3" fmla="val 2153750"/>
            <a:gd name="adj4" fmla="val 9024489"/>
            <a:gd name="adj5" fmla="val 359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</dsp:sp>
    <dsp:sp modelId="{4ABDE095-E82F-43F7-9260-456D3A518897}">
      <dsp:nvSpPr>
        <dsp:cNvPr id="0" name=""/>
        <dsp:cNvSpPr/>
      </dsp:nvSpPr>
      <dsp:spPr bwMode="auto">
        <a:xfrm>
          <a:off x="372192" y="1993561"/>
          <a:ext cx="1483760" cy="5900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ru-RU" sz="1200" b="1">
              <a:latin typeface="Arial Narrow"/>
            </a:rPr>
            <a:t>ФИНАНСОВАЯ СТРАТЕГИЯ</a:t>
          </a:r>
          <a:endParaRPr/>
        </a:p>
      </dsp:txBody>
      <dsp:txXfrm>
        <a:off x="389474" y="2010843"/>
        <a:ext cx="1449196" cy="555478"/>
      </dsp:txXfrm>
    </dsp:sp>
    <dsp:sp modelId="{08EFCF8C-3582-4782-BE5C-CF3DC6F20A4F}">
      <dsp:nvSpPr>
        <dsp:cNvPr id="0" name=""/>
        <dsp:cNvSpPr/>
      </dsp:nvSpPr>
      <dsp:spPr bwMode="auto">
        <a:xfrm>
          <a:off x="2123824" y="911817"/>
          <a:ext cx="1669230" cy="137676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Бюджет доходов</a:t>
          </a:r>
          <a:endParaRPr/>
        </a:p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бюджет расходов</a:t>
          </a:r>
          <a:endParaRPr/>
        </a:p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Бюджет развития</a:t>
          </a:r>
          <a:endParaRPr/>
        </a:p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Мониторинг и контроль  исполнения бюджетов</a:t>
          </a:r>
          <a:endParaRPr/>
        </a:p>
      </dsp:txBody>
      <dsp:txXfrm>
        <a:off x="2155507" y="1238521"/>
        <a:ext cx="1605864" cy="1018378"/>
      </dsp:txXfrm>
    </dsp:sp>
    <dsp:sp modelId="{A7CF687D-5B6B-4F65-8135-12E38135944D}">
      <dsp:nvSpPr>
        <dsp:cNvPr id="0" name=""/>
        <dsp:cNvSpPr/>
      </dsp:nvSpPr>
      <dsp:spPr bwMode="auto">
        <a:xfrm>
          <a:off x="3050591" y="70326"/>
          <a:ext cx="2040277" cy="2040277"/>
        </a:xfrm>
        <a:prstGeom prst="circularArrow">
          <a:avLst>
            <a:gd name="adj1" fmla="val 2757"/>
            <a:gd name="adj2" fmla="val 336150"/>
            <a:gd name="adj3" fmla="val 19488339"/>
            <a:gd name="adj4" fmla="val 12575511"/>
            <a:gd name="adj5" fmla="val 321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</dsp:sp>
    <dsp:sp modelId="{1898D243-BEE4-4A73-B220-CD4A69581897}">
      <dsp:nvSpPr>
        <dsp:cNvPr id="0" name=""/>
        <dsp:cNvSpPr/>
      </dsp:nvSpPr>
      <dsp:spPr bwMode="auto">
        <a:xfrm>
          <a:off x="2494764" y="616795"/>
          <a:ext cx="1483760" cy="5900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ru-RU" sz="1200" b="1">
              <a:latin typeface="Arial Narrow"/>
            </a:rPr>
            <a:t>БЮДЖЕТИРОВАНИЕ</a:t>
          </a:r>
          <a:endParaRPr/>
        </a:p>
      </dsp:txBody>
      <dsp:txXfrm>
        <a:off x="2512046" y="634077"/>
        <a:ext cx="1449196" cy="555478"/>
      </dsp:txXfrm>
    </dsp:sp>
    <dsp:sp modelId="{529C9CC9-14A3-4963-9434-6DBC65755E7F}">
      <dsp:nvSpPr>
        <dsp:cNvPr id="0" name=""/>
        <dsp:cNvSpPr/>
      </dsp:nvSpPr>
      <dsp:spPr bwMode="auto">
        <a:xfrm>
          <a:off x="4246396" y="911817"/>
          <a:ext cx="1669230" cy="137676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Отчетность</a:t>
          </a:r>
          <a:endParaRPr/>
        </a:p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Прозрачность</a:t>
          </a:r>
          <a:endParaRPr/>
        </a:p>
        <a:p>
          <a:pPr marL="57150" lvl="1" indent="-57150" algn="l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Char char="•"/>
            <a:defRPr/>
          </a:pPr>
          <a:r>
            <a:rPr lang="ru-RU" sz="1100">
              <a:latin typeface="Arial Narrow"/>
            </a:rPr>
            <a:t>Вовлечение интересантов</a:t>
          </a:r>
          <a:endParaRPr/>
        </a:p>
      </dsp:txBody>
      <dsp:txXfrm>
        <a:off x="4278079" y="943500"/>
        <a:ext cx="1605864" cy="1018378"/>
      </dsp:txXfrm>
    </dsp:sp>
    <dsp:sp modelId="{6D5CA5E2-F101-4D82-95B6-E7EF1DD710BE}">
      <dsp:nvSpPr>
        <dsp:cNvPr id="0" name=""/>
        <dsp:cNvSpPr/>
      </dsp:nvSpPr>
      <dsp:spPr bwMode="auto">
        <a:xfrm>
          <a:off x="4617336" y="1993561"/>
          <a:ext cx="1483760" cy="5900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ru-RU" sz="1200" b="1">
              <a:latin typeface="Arial Narrow"/>
            </a:rPr>
            <a:t>ОТЧЕТНОСТЬ</a:t>
          </a:r>
          <a:endParaRPr/>
        </a:p>
      </dsp:txBody>
      <dsp:txXfrm>
        <a:off x="4634618" y="2010843"/>
        <a:ext cx="1449196" cy="5554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xmlns:r="http://schemas.openxmlformats.org/officeDocument/2006/relationships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 val="norm"/>
      <dgm:animLvl val="lvl"/>
      <dgm:resizeHandles val="exact"/>
    </dgm:varLst>
    <dgm:alg type="lin">
      <dgm:param type="linDir" val="fromT"/>
      <dgm:param type="nodeHorzAlign" val="l"/>
    </dgm:alg>
    <dgm:shape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0000000000001"/>
      <dgm:constr type="h" for="ch" forName="sp" refType="w" refFor="des" refForName="parentText" op="gte" fact="-0.300000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00000"/>
              <dgm:constr type="h" for="ch" forName="parentText" refType="h"/>
              <dgm:constr type="w" for="ch" forName="parentText" refType="w" op="lte" fact="0.500000"/>
              <dgm:constr type="w" for="ch" forName="parentText" refType="h" refFor="ch" refForName="parentText" op="lte" fact="0.700000"/>
              <dgm:constr type="h" for="ch" forName="parentText" refType="w" refFor="ch" refForName="parentText" op="lte" fact="3.000000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.000000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00000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00000"/>
              <dgm:constr type="h" for="ch" forName="parentText" refType="h"/>
              <dgm:constr type="w" for="ch" forName="parentText" refType="w" op="lte" fact="0.500000"/>
              <dgm:constr type="w" for="ch" forName="parentText" refType="h" refFor="ch" refForName="parentText" op="lte" fact="0.700000"/>
              <dgm:constr type="h" for="ch" forName="parentText" refType="w" refFor="ch" refForName="parentText" op="lte" fact="3.000000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.000000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00000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rot="90.000000" type="chevron" r:blip="">
            <dgm:adjLst/>
          </dgm:shape>
          <dgm:presOf axis="self" ptType="node"/>
          <dgm:constrLst>
            <dgm:constr type="lMarg" refType="primFontSz" fact="0.050000"/>
            <dgm:constr type="rMarg" refType="primFontSz" fact="0.050000"/>
            <dgm:constr type="tMarg" refType="primFontSz" fact="0.050000"/>
            <dgm:constr type="bMarg" refType="primFontSz" fact="0.050000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rot="90.00000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rot="-90.00000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0000"/>
                <dgm:constr type="bMarg" refType="primFontSz" fact="0.050000"/>
                <dgm:constr type="rMarg" refType="primFontSz" fact="0.050000"/>
              </dgm:constrLst>
            </dgm:if>
            <dgm:else name="Name9">
              <dgm:constrLst>
                <dgm:constr type="secFontSz" refType="primFontSz"/>
                <dgm:constr type="tMarg" refType="primFontSz" fact="0.050000"/>
                <dgm:constr type="bMarg" refType="primFontSz" fact="0.050000"/>
                <dgm:constr type="lMarg" refType="primFontSz" fact="0.050000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xmlns:r="http://schemas.openxmlformats.org/officeDocument/2006/relationships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 val="norm"/>
      <dgm:animLvl val="lvl"/>
      <dgm:resizeHandles val="exact"/>
    </dgm:varLst>
    <dgm:alg type="composite"/>
    <dgm:shape r:blip="">
      <dgm:adjLst/>
    </dgm:shape>
    <dgm:presOf/>
    <dgm:constrLst>
      <dgm:constr type="w" for="ch" forName="tSp" refType="w"/>
      <dgm:constr type="h" for="ch" forName="tSp" refType="h" fact="0.150000"/>
      <dgm:constr type="l" for="ch" forName="tSp"/>
      <dgm:constr type="t" for="ch" forName="tSp"/>
      <dgm:constr type="w" for="ch" forName="bSp" refType="w"/>
      <dgm:constr type="h" for="ch" forName="bSp" refType="h" fact="0.150000"/>
      <dgm:constr type="l" for="ch" forName="bSp"/>
      <dgm:constr type="t" for="ch" forName="bSp" refType="h" fact="0.850000"/>
      <dgm:constr type="w" for="ch" forName="process" refType="w"/>
      <dgm:constr type="h" for="ch" forName="process" refType="h" fact="0.700000"/>
      <dgm:constr type="l" for="ch" forName="process"/>
      <dgm:constr type="t" for="ch" forName="process" refType="h" fact="0.150000"/>
    </dgm:constrLst>
    <dgm:ruleLst/>
    <dgm:layoutNode name="tSp">
      <dgm:alg type="sp"/>
      <dgm:shape r:blip="">
        <dgm:adjLst/>
      </dgm:shape>
      <dgm:presOf/>
      <dgm:constrLst/>
      <dgm:ruleLst/>
    </dgm:layoutNode>
    <dgm:layoutNode name="bSp">
      <dgm:alg type="sp"/>
      <dgm:shape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0000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0000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00000"/>
                <dgm:constr type="h" for="ch" forName="childNode1" refType="h" fact="0.700000"/>
                <dgm:constr type="t" for="ch" forName="childNode1" refType="h" fact="0.150000"/>
                <dgm:constr type="l" for="ch" forName="childNode1"/>
                <dgm:constr type="w" for="ch" forName="childNode1tx" refType="w" fact="0.900000"/>
                <dgm:constr type="h" for="ch" forName="childNode1tx" refType="h" fact="0.550000"/>
                <dgm:constr type="t" for="ch" forName="childNode1tx" refType="h" fact="0.150000"/>
                <dgm:constr type="l" for="ch" forName="childNode1tx"/>
                <dgm:constr type="w" for="ch" forName="parentNode1" refType="w" fact="0.800000"/>
                <dgm:constr type="h" for="ch" forName="parentNode1" refType="h" fact="0.300000"/>
                <dgm:constr type="t" for="ch" forName="parentNode1" refType="h" fact="0.700000"/>
                <dgm:constr type="l" for="ch" forName="parentNode1" refType="w" fact="0.200000"/>
                <dgm:constr type="w" for="ch" forName="connSite1" refType="w" fact="0.010000"/>
                <dgm:constr type="h" for="ch" forName="connSite1" refType="h" fact="0.010000"/>
                <dgm:constr type="t" for="ch" forName="connSite1"/>
                <dgm:constr type="l" for="ch" forName="connSite1" refType="w" fact="0.350000"/>
              </dgm:constrLst>
            </dgm:if>
            <dgm:else name="Name7">
              <dgm:constrLst>
                <dgm:constr type="h" refType="w" fact="1.060000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00000"/>
                <dgm:constr type="h" for="ch" forName="childNode1" refType="h" fact="0.700000"/>
                <dgm:constr type="t" for="ch" forName="childNode1" refType="h" fact="0.150000"/>
                <dgm:constr type="l" for="ch" forName="childNode1" refType="w" fact="0.100000"/>
                <dgm:constr type="w" for="ch" forName="childNode1tx" refType="w" fact="0.900000"/>
                <dgm:constr type="h" for="ch" forName="childNode1tx" refType="h" fact="0.550000"/>
                <dgm:constr type="t" for="ch" forName="childNode1tx" refType="h" fact="0.150000"/>
                <dgm:constr type="l" for="ch" forName="childNode1tx" refType="w" fact="0.100000"/>
                <dgm:constr type="w" for="ch" forName="parentNode1" refType="w" fact="0.800000"/>
                <dgm:constr type="h" for="ch" forName="parentNode1" refType="h" fact="0.300000"/>
                <dgm:constr type="t" for="ch" forName="parentNode1" refType="h" fact="0.700000"/>
                <dgm:constr type="l" for="ch" forName="parentNode1"/>
                <dgm:constr type="w" for="ch" forName="connSite1" refType="w" fact="0.010000"/>
                <dgm:constr type="h" for="ch" forName="connSite1" refType="h" fact="0.010000"/>
                <dgm:constr type="t" for="ch" forName="connSite1"/>
                <dgm:constr type="l" for="ch" forName="connSite1" refType="w" fact="0.650000"/>
              </dgm:constrLst>
            </dgm:else>
          </dgm:choose>
          <dgm:ruleLst/>
          <dgm:layoutNode name="dummyNode1">
            <dgm:alg type="sp"/>
            <dgm:shape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type="roundRect" r:blip="">
              <dgm:adjLst>
                <dgm:adj idx="1" val="0.100000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type="roundRect" r:blip="" hideGeom="1">
              <dgm:adjLst>
                <dgm:adj idx="1" val="0.100000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0000"/>
              <dgm:constr type="bMarg" refType="secFontSz" fact="0.150000"/>
              <dgm:constr type="lMarg" refType="secFontSz" fact="0.150000"/>
              <dgm:constr type="rMarg" refType="secFontSz" fact="0.150000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type="roundRect" r:blip="">
              <dgm:adjLst>
                <dgm:adj idx="1" val="0.100000"/>
              </dgm:adjLst>
            </dgm:shape>
            <dgm:presOf axis="self"/>
            <dgm:constrLst>
              <dgm:constr type="tMarg" refType="primFontSz" fact="0.100000"/>
              <dgm:constr type="bMarg" refType="primFontSz" fact="0.100000"/>
              <dgm:constr type="lMarg" refType="primFontSz" fact="0.150000"/>
              <dgm:constr type="rMarg" refType="primFontSz" fact="0.150000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0000"/>
                  <dgm:constr type="wArH" refType="h"/>
                  <dgm:constr type="hArH" refType="h"/>
                  <dgm:constr type="connDist"/>
                  <dgm:constr type="diam" refType="connDist" fact="-1.150000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0000"/>
                  <dgm:constr type="wArH" refType="h"/>
                  <dgm:constr type="hArH" refType="h"/>
                  <dgm:constr type="connDist"/>
                  <dgm:constr type="diam" refType="connDist" fact="1.150000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0000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00000"/>
                  <dgm:constr type="h" for="ch" forName="childNode2" refType="h" fact="0.700000"/>
                  <dgm:constr type="t" for="ch" forName="childNode2" refType="h" fact="0.150000"/>
                  <dgm:constr type="l" for="ch" forName="childNode2"/>
                  <dgm:constr type="w" for="ch" forName="childNode2tx" refType="w" fact="0.900000"/>
                  <dgm:constr type="h" for="ch" forName="childNode2tx" refType="h" fact="0.550000"/>
                  <dgm:constr type="t" for="ch" forName="childNode2tx" refType="h" fact="0.300000"/>
                  <dgm:constr type="l" for="ch" forName="childNode2tx"/>
                  <dgm:constr type="w" for="ch" forName="parentNode2" refType="w" fact="0.800000"/>
                  <dgm:constr type="h" for="ch" forName="parentNode2" refType="h" fact="0.300000"/>
                  <dgm:constr type="t" for="ch" forName="parentNode2"/>
                  <dgm:constr type="l" for="ch" forName="parentNode2" refType="w" fact="0.200000"/>
                  <dgm:constr type="w" for="ch" forName="connSite2" refType="w" fact="0.010000"/>
                  <dgm:constr type="h" for="ch" forName="connSite2" refType="h" fact="0.010000"/>
                  <dgm:constr type="t" for="ch" forName="connSite2" refType="h" fact="0.990000"/>
                  <dgm:constr type="l" for="ch" forName="connSite2" refType="w" fact="0.250000"/>
                </dgm:constrLst>
              </dgm:if>
              <dgm:else name="Name16">
                <dgm:constrLst>
                  <dgm:constr type="h" refType="w" fact="1.060000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00000"/>
                  <dgm:constr type="h" for="ch" forName="childNode2" refType="h" fact="0.700000"/>
                  <dgm:constr type="t" for="ch" forName="childNode2" refType="h" fact="0.150000"/>
                  <dgm:constr type="l" for="ch" forName="childNode2" refType="w" fact="0.100000"/>
                  <dgm:constr type="w" for="ch" forName="childNode2tx" refType="w" fact="0.900000"/>
                  <dgm:constr type="h" for="ch" forName="childNode2tx" refType="h" fact="0.550000"/>
                  <dgm:constr type="t" for="ch" forName="childNode2tx" refType="h" fact="0.300000"/>
                  <dgm:constr type="l" for="ch" forName="childNode2tx" refType="w" fact="0.100000"/>
                  <dgm:constr type="w" for="ch" forName="parentNode2" refType="w" fact="0.800000"/>
                  <dgm:constr type="h" for="ch" forName="parentNode2" refType="h" fact="0.300000"/>
                  <dgm:constr type="t" for="ch" forName="parentNode2"/>
                  <dgm:constr type="l" for="ch" forName="parentNode2"/>
                  <dgm:constr type="w" for="ch" forName="connSite2" refType="w" fact="0.010000"/>
                  <dgm:constr type="h" for="ch" forName="connSite2" refType="h" fact="0.010000"/>
                  <dgm:constr type="t" for="ch" forName="connSite2" refType="h" fact="0.990000"/>
                  <dgm:constr type="l" for="ch" forName="connSite2" refType="w" fact="0.850000"/>
                </dgm:constrLst>
              </dgm:else>
            </dgm:choose>
            <dgm:ruleLst/>
            <dgm:layoutNode name="dummyNode2">
              <dgm:alg type="sp"/>
              <dgm:shape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type="roundRect" r:blip="">
                <dgm:adjLst>
                  <dgm:adj idx="1" val="0.100000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type="roundRect" r:blip="" hideGeom="1">
                <dgm:adjLst>
                  <dgm:adj idx="1" val="0.100000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0000"/>
                <dgm:constr type="bMarg" refType="secFontSz" fact="0.150000"/>
                <dgm:constr type="lMarg" refType="secFontSz" fact="0.150000"/>
                <dgm:constr type="rMarg" refType="secFontSz" fact="0.150000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type="roundRect" r:blip="">
                <dgm:adjLst>
                  <dgm:adj idx="1" val="0.100000"/>
                </dgm:adjLst>
              </dgm:shape>
              <dgm:presOf axis="self"/>
              <dgm:constrLst>
                <dgm:constr type="tMarg" refType="primFontSz" fact="0.100000"/>
                <dgm:constr type="bMarg" refType="primFontSz" fact="0.100000"/>
                <dgm:constr type="lMarg" refType="primFontSz" fact="0.150000"/>
                <dgm:constr type="rMarg" refType="primFontSz" fact="0.150000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0000"/>
                    <dgm:constr type="wArH" refType="h"/>
                    <dgm:constr type="hArH" refType="h"/>
                    <dgm:constr type="connDist"/>
                    <dgm:constr type="diam" refType="connDist" fact="1.150000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0000"/>
                    <dgm:constr type="wArH" refType="h"/>
                    <dgm:constr type="hArH" refType="h"/>
                    <dgm:constr type="connDist"/>
                    <dgm:constr type="diam" refType="connDist" fact="-1.150000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callout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sst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con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tr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B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dk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tr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revTx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callout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sst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con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tr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B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dk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tr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revTx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</dgm:styleDef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>2023-09-01T00:00:00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0D9ED4-9488-5944-B335-F938E855A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Москва</Company>
  <DocSecurity>0</DocSecurity>
  <HyperlinkBase/>
  <HyperlinksChanged>false</HyperlinksChanged>
  <LinksUpToDate>false</LinksUpToDate>
  <Manager/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РАЗВИТИЯ              ФЕДЕРАЦИИ СКАЛОЛАЗАНИЯ РОССИИ     НА ПЕРИОД ДО 2032 ГОДА</dc:title>
  <dc:subject/>
  <dc:creator>Федерация скалолазания России</dc:creator>
  <cp:keywords/>
  <dc:description/>
  <dc:language>ru-RU</dc:language>
  <cp:lastModifiedBy>Мария Рыкалина</cp:lastModifiedBy>
  <cp:revision>11</cp:revision>
  <dcterms:created xsi:type="dcterms:W3CDTF">2024-11-13T07:17:00Z</dcterms:created>
  <dcterms:modified xsi:type="dcterms:W3CDTF">2024-12-09T06:28:51Z</dcterms:modified>
  <cp:category/>
</cp:coreProperties>
</file>